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D8E" w:rsidRDefault="00A970A3">
      <w:pPr>
        <w:pStyle w:val="Brdtext"/>
        <w:spacing w:before="51"/>
        <w:ind w:left="4132" w:right="1859" w:hanging="2253"/>
        <w:rPr>
          <w:rFonts w:ascii="Arial" w:eastAsia="Arial" w:hAnsi="Arial" w:cs="Arial"/>
        </w:rPr>
      </w:pPr>
      <w:bookmarkStart w:id="0" w:name="_GoBack"/>
      <w:bookmarkEnd w:id="0"/>
      <w:r>
        <w:rPr>
          <w:rFonts w:ascii="Arial"/>
        </w:rPr>
        <w:t>Resource and waste guidelines for construction and demolition, April 2019</w:t>
      </w:r>
    </w:p>
    <w:p w:rsidR="00986D8E" w:rsidRDefault="00986D8E">
      <w:pPr>
        <w:spacing w:before="5"/>
        <w:rPr>
          <w:rFonts w:ascii="Arial" w:eastAsia="Arial" w:hAnsi="Arial" w:cs="Arial"/>
          <w:sz w:val="10"/>
          <w:szCs w:val="10"/>
        </w:rPr>
      </w:pPr>
    </w:p>
    <w:p w:rsidR="00986D8E" w:rsidRDefault="00031E6F">
      <w:pPr>
        <w:spacing w:line="20" w:lineRule="exact"/>
        <w:ind w:left="102"/>
        <w:rPr>
          <w:rFonts w:ascii="Arial" w:eastAsia="Arial" w:hAnsi="Arial" w:cs="Arial"/>
          <w:sz w:val="2"/>
          <w:szCs w:val="2"/>
        </w:rPr>
      </w:pPr>
      <w:r>
        <w:rPr>
          <w:rFonts w:ascii="Arial" w:hAnsi="Arial"/>
          <w:sz w:val="2"/>
          <w:szCs w:val="2"/>
        </w:rPr>
      </w:r>
      <w:r>
        <w:rPr>
          <w:rFonts w:ascii="Arial" w:hAnsi="Arial"/>
          <w:sz w:val="2"/>
          <w:szCs w:val="2"/>
        </w:rPr>
        <w:pict>
          <v:group id="_x0000_s1026" style="width:457.15pt;height:.5pt;mso-position-horizontal-relative:char;mso-position-vertical-relative:line" coordsize="9143,10">
            <v:group id="_x0000_s1027" style="position:absolute;left:5;top:5;width:9134;height:2" coordorigin="5,5" coordsize="9134,2">
              <v:shape id="_x0000_s1028" style="position:absolute;left:5;top:5;width:9134;height:2" coordorigin="5,5" coordsize="9134,0" path="m5,5r9133,e" filled="f" strokeweight=".48pt">
                <v:path arrowok="t"/>
              </v:shape>
            </v:group>
            <w10:anchorlock/>
          </v:group>
        </w:pict>
      </w:r>
    </w:p>
    <w:p w:rsidR="00986D8E" w:rsidRDefault="00986D8E">
      <w:pPr>
        <w:rPr>
          <w:rFonts w:ascii="Arial" w:eastAsia="Arial" w:hAnsi="Arial" w:cs="Arial"/>
          <w:sz w:val="20"/>
          <w:szCs w:val="20"/>
        </w:rPr>
      </w:pPr>
    </w:p>
    <w:p w:rsidR="00986D8E" w:rsidRDefault="00A970A3">
      <w:pPr>
        <w:spacing w:before="174"/>
        <w:ind w:right="135"/>
        <w:jc w:val="right"/>
        <w:rPr>
          <w:rFonts w:ascii="Arial" w:eastAsia="Arial" w:hAnsi="Arial" w:cs="Arial"/>
          <w:sz w:val="32"/>
          <w:szCs w:val="32"/>
        </w:rPr>
      </w:pPr>
      <w:r>
        <w:rPr>
          <w:rFonts w:ascii="Arial"/>
          <w:sz w:val="32"/>
        </w:rPr>
        <w:t>Appendix 3</w:t>
      </w:r>
    </w:p>
    <w:p w:rsidR="00986D8E" w:rsidRDefault="00A970A3">
      <w:pPr>
        <w:ind w:left="137" w:right="1859"/>
        <w:rPr>
          <w:rFonts w:ascii="Arial" w:eastAsia="Arial" w:hAnsi="Arial" w:cs="Arial"/>
          <w:sz w:val="32"/>
          <w:szCs w:val="32"/>
        </w:rPr>
      </w:pPr>
      <w:r>
        <w:rPr>
          <w:rFonts w:ascii="Arial" w:hAnsi="Arial"/>
          <w:b/>
          <w:bCs/>
          <w:sz w:val="32"/>
          <w:szCs w:val="32"/>
        </w:rPr>
        <w:t>Waste fractions during construction – basic level</w:t>
      </w:r>
    </w:p>
    <w:p w:rsidR="00986D8E" w:rsidRDefault="00A970A3">
      <w:pPr>
        <w:spacing w:before="161"/>
        <w:ind w:left="137" w:right="184"/>
        <w:rPr>
          <w:rFonts w:ascii="Times New Roman" w:eastAsia="Times New Roman" w:hAnsi="Times New Roman" w:cs="Times New Roman"/>
          <w:sz w:val="24"/>
          <w:szCs w:val="24"/>
        </w:rPr>
      </w:pPr>
      <w:r>
        <w:rPr>
          <w:rFonts w:ascii="Times New Roman" w:hAnsi="Times New Roman"/>
          <w:b/>
          <w:sz w:val="24"/>
        </w:rPr>
        <w:t>Construction includes new construction, alteration (rebuilding and extension) and maintenance.</w:t>
      </w:r>
    </w:p>
    <w:p w:rsidR="00986D8E" w:rsidRDefault="00A970A3">
      <w:pPr>
        <w:pStyle w:val="Brdtext"/>
        <w:ind w:right="184"/>
      </w:pPr>
      <w:r>
        <w:t xml:space="preserve">Use the designations stated here for the different fractions. These are taken from the industry-wide article structure for waste administered by the Swedish Recycling Industries’ Association, </w:t>
      </w:r>
      <w:hyperlink r:id="rId5">
        <w:r>
          <w:rPr>
            <w:color w:val="0462C1"/>
            <w:u w:val="single" w:color="0462C1"/>
          </w:rPr>
          <w:t>http://www.recycling.se/beast</w:t>
        </w:r>
      </w:hyperlink>
      <w:r>
        <w:t>. There are also additional sub-fractions which can be sorted out for different waste types, together with suggested waste codes. .</w:t>
      </w:r>
    </w:p>
    <w:p w:rsidR="00986D8E" w:rsidRDefault="00A970A3">
      <w:pPr>
        <w:pStyle w:val="Brdtext"/>
        <w:ind w:right="224"/>
      </w:pPr>
      <w:r>
        <w:t>Some of these subtractions are described in Appendix 4, together with information on what the fraction may contain, handling, suggested waste codes and the industry’s agreement about design of signs and colours. What the fractions should contain in detail is determined in the project in consultation with the waste contractor. Appendix 1 describes handling and suggests waste codes for hazardous waste.</w:t>
      </w:r>
    </w:p>
    <w:p w:rsidR="00986D8E" w:rsidRDefault="00A970A3">
      <w:pPr>
        <w:pStyle w:val="Brdtext"/>
        <w:spacing w:before="79"/>
        <w:ind w:right="290"/>
      </w:pPr>
      <w:r>
        <w:t>An assessment of any deviations from the list should be carried out taking into account the circumstances for the individual project. Division into fewer fractions than is required for the basic level or use of the fraction Mixed Waste for post-sorting shall be specifically justified and approved in writing by the client.</w:t>
      </w:r>
    </w:p>
    <w:p w:rsidR="00986D8E" w:rsidRDefault="00986D8E">
      <w:pPr>
        <w:spacing w:before="10"/>
        <w:rPr>
          <w:rFonts w:ascii="Times New Roman" w:eastAsia="Times New Roman" w:hAnsi="Times New Roman" w:cs="Times New Roman"/>
          <w:sz w:val="17"/>
          <w:szCs w:val="17"/>
        </w:rPr>
      </w:pPr>
    </w:p>
    <w:tbl>
      <w:tblPr>
        <w:tblW w:w="0" w:type="auto"/>
        <w:tblInd w:w="137" w:type="dxa"/>
        <w:tblLayout w:type="fixed"/>
        <w:tblCellMar>
          <w:left w:w="0" w:type="dxa"/>
          <w:right w:w="0" w:type="dxa"/>
        </w:tblCellMar>
        <w:tblLook w:val="01E0" w:firstRow="1" w:lastRow="1" w:firstColumn="1" w:lastColumn="1" w:noHBand="0" w:noVBand="0"/>
      </w:tblPr>
      <w:tblGrid>
        <w:gridCol w:w="4260"/>
        <w:gridCol w:w="4803"/>
      </w:tblGrid>
      <w:tr w:rsidR="00986D8E">
        <w:trPr>
          <w:trHeight w:hRule="exact" w:val="908"/>
        </w:trPr>
        <w:tc>
          <w:tcPr>
            <w:tcW w:w="4260" w:type="dxa"/>
            <w:tcBorders>
              <w:top w:val="single" w:sz="4" w:space="0" w:color="000000"/>
              <w:left w:val="single" w:sz="4" w:space="0" w:color="000000"/>
              <w:bottom w:val="single" w:sz="4" w:space="0" w:color="000000"/>
              <w:right w:val="single" w:sz="4" w:space="0" w:color="000000"/>
            </w:tcBorders>
            <w:shd w:val="clear" w:color="auto" w:fill="CCFFCC"/>
          </w:tcPr>
          <w:p w:rsidR="00986D8E" w:rsidRDefault="00986D8E">
            <w:pPr>
              <w:pStyle w:val="TableParagraph"/>
              <w:spacing w:before="10"/>
              <w:rPr>
                <w:rFonts w:ascii="Times New Roman" w:eastAsia="Times New Roman" w:hAnsi="Times New Roman" w:cs="Times New Roman"/>
                <w:sz w:val="20"/>
                <w:szCs w:val="20"/>
              </w:rPr>
            </w:pPr>
          </w:p>
          <w:p w:rsidR="00986D8E" w:rsidRDefault="00A970A3">
            <w:pPr>
              <w:pStyle w:val="TableParagraph"/>
              <w:ind w:left="103" w:right="2093"/>
              <w:rPr>
                <w:rFonts w:ascii="Arial" w:eastAsia="Arial" w:hAnsi="Arial" w:cs="Arial"/>
                <w:sz w:val="26"/>
                <w:szCs w:val="26"/>
              </w:rPr>
            </w:pPr>
            <w:r>
              <w:rPr>
                <w:rFonts w:ascii="Arial" w:hAnsi="Arial"/>
                <w:b/>
                <w:sz w:val="26"/>
              </w:rPr>
              <w:t>Waste sorting during construction</w:t>
            </w:r>
          </w:p>
        </w:tc>
        <w:tc>
          <w:tcPr>
            <w:tcW w:w="4803" w:type="dxa"/>
            <w:tcBorders>
              <w:top w:val="single" w:sz="4" w:space="0" w:color="000000"/>
              <w:left w:val="single" w:sz="4" w:space="0" w:color="000000"/>
              <w:bottom w:val="single" w:sz="4" w:space="0" w:color="000000"/>
              <w:right w:val="single" w:sz="4" w:space="0" w:color="000000"/>
            </w:tcBorders>
            <w:shd w:val="clear" w:color="auto" w:fill="CCFFCC"/>
          </w:tcPr>
          <w:p w:rsidR="00986D8E" w:rsidRDefault="00986D8E">
            <w:pPr>
              <w:pStyle w:val="TableParagraph"/>
              <w:spacing w:before="10"/>
              <w:rPr>
                <w:rFonts w:ascii="Times New Roman" w:eastAsia="Times New Roman" w:hAnsi="Times New Roman" w:cs="Times New Roman"/>
                <w:sz w:val="20"/>
                <w:szCs w:val="20"/>
              </w:rPr>
            </w:pPr>
          </w:p>
          <w:p w:rsidR="00986D8E" w:rsidRDefault="00A970A3">
            <w:pPr>
              <w:pStyle w:val="TableParagraph"/>
              <w:ind w:left="103"/>
              <w:rPr>
                <w:rFonts w:ascii="Arial" w:eastAsia="Arial" w:hAnsi="Arial" w:cs="Arial"/>
                <w:sz w:val="26"/>
                <w:szCs w:val="26"/>
              </w:rPr>
            </w:pPr>
            <w:r>
              <w:rPr>
                <w:rFonts w:ascii="Arial"/>
                <w:b/>
                <w:sz w:val="26"/>
              </w:rPr>
              <w:t>Comments</w:t>
            </w:r>
          </w:p>
        </w:tc>
      </w:tr>
      <w:tr w:rsidR="00986D8E" w:rsidTr="00A970A3">
        <w:trPr>
          <w:trHeight w:hRule="exact" w:val="7327"/>
        </w:trPr>
        <w:tc>
          <w:tcPr>
            <w:tcW w:w="4260" w:type="dxa"/>
            <w:tcBorders>
              <w:top w:val="single" w:sz="4" w:space="0" w:color="000000"/>
              <w:left w:val="single" w:sz="4" w:space="0" w:color="000000"/>
              <w:bottom w:val="single" w:sz="4" w:space="0" w:color="000000"/>
              <w:right w:val="single" w:sz="4" w:space="0" w:color="000000"/>
            </w:tcBorders>
            <w:shd w:val="clear" w:color="auto" w:fill="CCFFCC"/>
          </w:tcPr>
          <w:p w:rsidR="00986D8E" w:rsidRDefault="00A970A3">
            <w:pPr>
              <w:pStyle w:val="TableParagraph"/>
              <w:numPr>
                <w:ilvl w:val="0"/>
                <w:numId w:val="2"/>
              </w:numPr>
              <w:tabs>
                <w:tab w:val="left" w:pos="464"/>
              </w:tabs>
              <w:spacing w:before="79"/>
              <w:ind w:right="157" w:hanging="360"/>
              <w:rPr>
                <w:rFonts w:ascii="Times New Roman" w:eastAsia="Times New Roman" w:hAnsi="Times New Roman" w:cs="Times New Roman"/>
              </w:rPr>
            </w:pPr>
            <w:r>
              <w:rPr>
                <w:rFonts w:ascii="Times New Roman" w:hAnsi="Times New Roman"/>
              </w:rPr>
              <w:t>Packaging material included in the reuse system (for example standard pallets)</w:t>
            </w:r>
          </w:p>
          <w:p w:rsidR="00986D8E" w:rsidRDefault="00A970A3">
            <w:pPr>
              <w:pStyle w:val="TableParagraph"/>
              <w:numPr>
                <w:ilvl w:val="0"/>
                <w:numId w:val="2"/>
              </w:numPr>
              <w:tabs>
                <w:tab w:val="left" w:pos="464"/>
              </w:tabs>
              <w:spacing w:before="79"/>
              <w:ind w:hanging="360"/>
              <w:rPr>
                <w:rFonts w:ascii="Times New Roman" w:eastAsia="Times New Roman" w:hAnsi="Times New Roman" w:cs="Times New Roman"/>
              </w:rPr>
            </w:pPr>
            <w:r>
              <w:rPr>
                <w:rFonts w:ascii="Times New Roman"/>
              </w:rPr>
              <w:t>Hazardous waste (different waste types are separated)</w:t>
            </w:r>
          </w:p>
          <w:p w:rsidR="00986D8E" w:rsidRDefault="00A970A3">
            <w:pPr>
              <w:pStyle w:val="TableParagraph"/>
              <w:numPr>
                <w:ilvl w:val="0"/>
                <w:numId w:val="2"/>
              </w:numPr>
              <w:tabs>
                <w:tab w:val="left" w:pos="464"/>
              </w:tabs>
              <w:spacing w:before="80"/>
              <w:ind w:hanging="360"/>
              <w:rPr>
                <w:rFonts w:ascii="Times New Roman" w:eastAsia="Times New Roman" w:hAnsi="Times New Roman" w:cs="Times New Roman"/>
              </w:rPr>
            </w:pPr>
            <w:r>
              <w:rPr>
                <w:rFonts w:ascii="Times New Roman"/>
              </w:rPr>
              <w:t>Electrical waste (different waste types are separated)</w:t>
            </w:r>
          </w:p>
          <w:p w:rsidR="00986D8E" w:rsidRDefault="00A970A3">
            <w:pPr>
              <w:pStyle w:val="TableParagraph"/>
              <w:numPr>
                <w:ilvl w:val="0"/>
                <w:numId w:val="2"/>
              </w:numPr>
              <w:tabs>
                <w:tab w:val="left" w:pos="464"/>
              </w:tabs>
              <w:spacing w:before="79"/>
              <w:ind w:hanging="360"/>
              <w:rPr>
                <w:rFonts w:ascii="Times New Roman" w:eastAsia="Times New Roman" w:hAnsi="Times New Roman" w:cs="Times New Roman"/>
              </w:rPr>
            </w:pPr>
            <w:r>
              <w:rPr>
                <w:rFonts w:ascii="Times New Roman" w:hAnsi="Times New Roman"/>
              </w:rPr>
              <w:t>Wood</w:t>
            </w:r>
          </w:p>
          <w:p w:rsidR="00986D8E" w:rsidRDefault="00A970A3">
            <w:pPr>
              <w:pStyle w:val="TableParagraph"/>
              <w:numPr>
                <w:ilvl w:val="0"/>
                <w:numId w:val="2"/>
              </w:numPr>
              <w:tabs>
                <w:tab w:val="left" w:pos="464"/>
              </w:tabs>
              <w:spacing w:before="80"/>
              <w:ind w:hanging="360"/>
              <w:rPr>
                <w:rFonts w:ascii="Times New Roman" w:eastAsia="Times New Roman" w:hAnsi="Times New Roman" w:cs="Times New Roman"/>
              </w:rPr>
            </w:pPr>
            <w:r>
              <w:rPr>
                <w:rFonts w:ascii="Times New Roman" w:hAnsi="Times New Roman"/>
              </w:rPr>
              <w:t>Combustible materials</w:t>
            </w:r>
          </w:p>
          <w:p w:rsidR="00986D8E" w:rsidRDefault="00A970A3">
            <w:pPr>
              <w:pStyle w:val="TableParagraph"/>
              <w:numPr>
                <w:ilvl w:val="0"/>
                <w:numId w:val="2"/>
              </w:numPr>
              <w:tabs>
                <w:tab w:val="left" w:pos="464"/>
              </w:tabs>
              <w:spacing w:before="79"/>
              <w:ind w:hanging="360"/>
              <w:rPr>
                <w:rFonts w:ascii="Times New Roman" w:eastAsia="Times New Roman" w:hAnsi="Times New Roman" w:cs="Times New Roman"/>
              </w:rPr>
            </w:pPr>
            <w:r>
              <w:rPr>
                <w:rFonts w:ascii="Times New Roman"/>
              </w:rPr>
              <w:t>Plastic</w:t>
            </w:r>
          </w:p>
          <w:p w:rsidR="00986D8E" w:rsidRDefault="00A970A3">
            <w:pPr>
              <w:pStyle w:val="TableParagraph"/>
              <w:numPr>
                <w:ilvl w:val="0"/>
                <w:numId w:val="2"/>
              </w:numPr>
              <w:tabs>
                <w:tab w:val="left" w:pos="464"/>
              </w:tabs>
              <w:spacing w:before="80"/>
              <w:ind w:hanging="360"/>
              <w:rPr>
                <w:rFonts w:ascii="Times New Roman" w:eastAsia="Times New Roman" w:hAnsi="Times New Roman" w:cs="Times New Roman"/>
              </w:rPr>
            </w:pPr>
            <w:r>
              <w:rPr>
                <w:rFonts w:ascii="Times New Roman"/>
              </w:rPr>
              <w:t>Plaster</w:t>
            </w:r>
          </w:p>
          <w:p w:rsidR="00986D8E" w:rsidRDefault="00A970A3">
            <w:pPr>
              <w:pStyle w:val="TableParagraph"/>
              <w:numPr>
                <w:ilvl w:val="0"/>
                <w:numId w:val="2"/>
              </w:numPr>
              <w:tabs>
                <w:tab w:val="left" w:pos="464"/>
              </w:tabs>
              <w:spacing w:before="79"/>
              <w:ind w:hanging="360"/>
              <w:rPr>
                <w:rFonts w:ascii="Times New Roman" w:eastAsia="Times New Roman" w:hAnsi="Times New Roman" w:cs="Times New Roman"/>
              </w:rPr>
            </w:pPr>
            <w:r>
              <w:rPr>
                <w:rFonts w:ascii="Times New Roman"/>
              </w:rPr>
              <w:t>Scrap and metal</w:t>
            </w:r>
          </w:p>
          <w:p w:rsidR="00986D8E" w:rsidRDefault="00A970A3">
            <w:pPr>
              <w:pStyle w:val="TableParagraph"/>
              <w:numPr>
                <w:ilvl w:val="0"/>
                <w:numId w:val="2"/>
              </w:numPr>
              <w:tabs>
                <w:tab w:val="left" w:pos="464"/>
              </w:tabs>
              <w:spacing w:before="80"/>
              <w:ind w:hanging="360"/>
              <w:rPr>
                <w:rFonts w:ascii="Times New Roman" w:eastAsia="Times New Roman" w:hAnsi="Times New Roman" w:cs="Times New Roman"/>
              </w:rPr>
            </w:pPr>
            <w:r>
              <w:rPr>
                <w:rFonts w:ascii="Times New Roman"/>
              </w:rPr>
              <w:t>Mineral soils</w:t>
            </w:r>
          </w:p>
          <w:p w:rsidR="00986D8E" w:rsidRDefault="00A970A3">
            <w:pPr>
              <w:pStyle w:val="TableParagraph"/>
              <w:numPr>
                <w:ilvl w:val="0"/>
                <w:numId w:val="2"/>
              </w:numPr>
              <w:tabs>
                <w:tab w:val="left" w:pos="464"/>
              </w:tabs>
              <w:spacing w:before="79"/>
              <w:ind w:hanging="360"/>
              <w:rPr>
                <w:rFonts w:ascii="Times New Roman" w:eastAsia="Times New Roman" w:hAnsi="Times New Roman" w:cs="Times New Roman"/>
              </w:rPr>
            </w:pPr>
            <w:r>
              <w:rPr>
                <w:rFonts w:ascii="Times New Roman"/>
              </w:rPr>
              <w:t>Excavation soils</w:t>
            </w:r>
          </w:p>
          <w:p w:rsidR="00986D8E" w:rsidRDefault="00A970A3">
            <w:pPr>
              <w:pStyle w:val="TableParagraph"/>
              <w:numPr>
                <w:ilvl w:val="0"/>
                <w:numId w:val="2"/>
              </w:numPr>
              <w:tabs>
                <w:tab w:val="left" w:pos="464"/>
              </w:tabs>
              <w:spacing w:before="80"/>
              <w:ind w:hanging="360"/>
              <w:rPr>
                <w:rFonts w:ascii="Times New Roman" w:eastAsia="Times New Roman" w:hAnsi="Times New Roman" w:cs="Times New Roman"/>
              </w:rPr>
            </w:pPr>
            <w:r>
              <w:rPr>
                <w:rFonts w:ascii="Times New Roman"/>
              </w:rPr>
              <w:t>Mineral wool</w:t>
            </w:r>
          </w:p>
          <w:p w:rsidR="00986D8E" w:rsidRDefault="00A970A3">
            <w:pPr>
              <w:pStyle w:val="TableParagraph"/>
              <w:numPr>
                <w:ilvl w:val="0"/>
                <w:numId w:val="2"/>
              </w:numPr>
              <w:tabs>
                <w:tab w:val="left" w:pos="464"/>
              </w:tabs>
              <w:spacing w:before="79"/>
              <w:ind w:hanging="360"/>
              <w:rPr>
                <w:rFonts w:ascii="Times New Roman" w:eastAsia="Times New Roman" w:hAnsi="Times New Roman" w:cs="Times New Roman"/>
              </w:rPr>
            </w:pPr>
            <w:r>
              <w:rPr>
                <w:rFonts w:ascii="Times New Roman"/>
              </w:rPr>
              <w:t>Corrugated cardboard</w:t>
            </w:r>
          </w:p>
          <w:p w:rsidR="00986D8E" w:rsidRDefault="00A970A3">
            <w:pPr>
              <w:pStyle w:val="TableParagraph"/>
              <w:numPr>
                <w:ilvl w:val="0"/>
                <w:numId w:val="2"/>
              </w:numPr>
              <w:tabs>
                <w:tab w:val="left" w:pos="464"/>
              </w:tabs>
              <w:spacing w:before="79"/>
              <w:ind w:hanging="360"/>
              <w:rPr>
                <w:rFonts w:ascii="Times New Roman" w:eastAsia="Times New Roman" w:hAnsi="Times New Roman" w:cs="Times New Roman"/>
              </w:rPr>
            </w:pPr>
            <w:r>
              <w:rPr>
                <w:rFonts w:ascii="Times New Roman" w:hAnsi="Times New Roman"/>
              </w:rPr>
              <w:t>Paper packaging</w:t>
            </w:r>
          </w:p>
          <w:p w:rsidR="00986D8E" w:rsidRDefault="00A970A3">
            <w:pPr>
              <w:pStyle w:val="TableParagraph"/>
              <w:numPr>
                <w:ilvl w:val="0"/>
                <w:numId w:val="2"/>
              </w:numPr>
              <w:tabs>
                <w:tab w:val="left" w:pos="464"/>
              </w:tabs>
              <w:spacing w:before="80"/>
              <w:ind w:hanging="360"/>
              <w:rPr>
                <w:rFonts w:ascii="Times New Roman" w:eastAsia="Times New Roman" w:hAnsi="Times New Roman" w:cs="Times New Roman"/>
              </w:rPr>
            </w:pPr>
            <w:r>
              <w:rPr>
                <w:rFonts w:ascii="Times New Roman" w:hAnsi="Times New Roman"/>
              </w:rPr>
              <w:t>Glass packaging</w:t>
            </w:r>
          </w:p>
          <w:p w:rsidR="00986D8E" w:rsidRDefault="00A970A3">
            <w:pPr>
              <w:pStyle w:val="TableParagraph"/>
              <w:numPr>
                <w:ilvl w:val="0"/>
                <w:numId w:val="2"/>
              </w:numPr>
              <w:tabs>
                <w:tab w:val="left" w:pos="464"/>
              </w:tabs>
              <w:spacing w:before="79"/>
              <w:ind w:hanging="360"/>
              <w:rPr>
                <w:rFonts w:ascii="Times New Roman" w:eastAsia="Times New Roman" w:hAnsi="Times New Roman" w:cs="Times New Roman"/>
              </w:rPr>
            </w:pPr>
            <w:r>
              <w:rPr>
                <w:rFonts w:ascii="Times New Roman" w:hAnsi="Times New Roman"/>
              </w:rPr>
              <w:t>Plastic packaging</w:t>
            </w:r>
          </w:p>
          <w:p w:rsidR="00986D8E" w:rsidRDefault="00A970A3">
            <w:pPr>
              <w:pStyle w:val="TableParagraph"/>
              <w:numPr>
                <w:ilvl w:val="0"/>
                <w:numId w:val="2"/>
              </w:numPr>
              <w:tabs>
                <w:tab w:val="left" w:pos="464"/>
              </w:tabs>
              <w:spacing w:before="81"/>
              <w:ind w:hanging="360"/>
              <w:rPr>
                <w:rFonts w:ascii="Times New Roman" w:eastAsia="Times New Roman" w:hAnsi="Times New Roman" w:cs="Times New Roman"/>
              </w:rPr>
            </w:pPr>
            <w:r>
              <w:rPr>
                <w:rFonts w:ascii="Times New Roman" w:hAnsi="Times New Roman"/>
              </w:rPr>
              <w:t>Metal packaging</w:t>
            </w:r>
          </w:p>
          <w:p w:rsidR="00986D8E" w:rsidRDefault="00A970A3">
            <w:pPr>
              <w:pStyle w:val="TableParagraph"/>
              <w:spacing w:before="82"/>
              <w:ind w:left="103"/>
              <w:rPr>
                <w:rFonts w:ascii="Microsoft Sans Serif" w:eastAsia="Microsoft Sans Serif" w:hAnsi="Microsoft Sans Serif" w:cs="Microsoft Sans Serif"/>
              </w:rPr>
            </w:pPr>
            <w:r>
              <w:rPr>
                <w:rFonts w:ascii="Microsoft Sans Serif" w:hAnsi="Microsoft Sans Serif"/>
              </w:rPr>
              <w:t>▪</w:t>
            </w:r>
          </w:p>
        </w:tc>
        <w:tc>
          <w:tcPr>
            <w:tcW w:w="4803" w:type="dxa"/>
            <w:tcBorders>
              <w:top w:val="single" w:sz="4" w:space="0" w:color="000000"/>
              <w:left w:val="single" w:sz="4" w:space="0" w:color="000000"/>
              <w:bottom w:val="single" w:sz="4" w:space="0" w:color="000000"/>
              <w:right w:val="single" w:sz="4" w:space="0" w:color="000000"/>
            </w:tcBorders>
            <w:shd w:val="clear" w:color="auto" w:fill="CCFFCC"/>
          </w:tcPr>
          <w:p w:rsidR="00986D8E" w:rsidRDefault="00A970A3">
            <w:pPr>
              <w:pStyle w:val="TableParagraph"/>
              <w:numPr>
                <w:ilvl w:val="0"/>
                <w:numId w:val="1"/>
              </w:numPr>
              <w:tabs>
                <w:tab w:val="left" w:pos="464"/>
              </w:tabs>
              <w:spacing w:before="79"/>
              <w:ind w:right="128"/>
              <w:rPr>
                <w:rFonts w:ascii="Times New Roman" w:eastAsia="Times New Roman" w:hAnsi="Times New Roman" w:cs="Times New Roman"/>
              </w:rPr>
            </w:pPr>
            <w:r>
              <w:rPr>
                <w:rFonts w:ascii="Times New Roman" w:hAnsi="Times New Roman"/>
              </w:rPr>
              <w:t>Division into fewer fractions than is required for the basic level or use of the fraction Mixed Waste for post-sorting shall be specifically justified and approved in writing by the client. Combustible waste must be sorted out at the source unless circumstances on site make this impossible.</w:t>
            </w:r>
          </w:p>
          <w:p w:rsidR="00986D8E" w:rsidRDefault="00A970A3">
            <w:pPr>
              <w:pStyle w:val="TableParagraph"/>
              <w:numPr>
                <w:ilvl w:val="0"/>
                <w:numId w:val="1"/>
              </w:numPr>
              <w:tabs>
                <w:tab w:val="left" w:pos="464"/>
              </w:tabs>
              <w:spacing w:before="79"/>
              <w:rPr>
                <w:rFonts w:ascii="Times New Roman" w:eastAsia="Times New Roman" w:hAnsi="Times New Roman" w:cs="Times New Roman"/>
              </w:rPr>
            </w:pPr>
            <w:r>
              <w:rPr>
                <w:rFonts w:ascii="Times New Roman" w:hAnsi="Times New Roman"/>
              </w:rPr>
              <w:t>The quantity of waste sent to landfill shall be minimised.</w:t>
            </w:r>
          </w:p>
          <w:p w:rsidR="00986D8E" w:rsidRDefault="00A970A3">
            <w:pPr>
              <w:pStyle w:val="TableParagraph"/>
              <w:numPr>
                <w:ilvl w:val="0"/>
                <w:numId w:val="1"/>
              </w:numPr>
              <w:tabs>
                <w:tab w:val="left" w:pos="464"/>
              </w:tabs>
              <w:spacing w:before="80"/>
              <w:ind w:right="311"/>
              <w:rPr>
                <w:rFonts w:ascii="Times New Roman" w:eastAsia="Times New Roman" w:hAnsi="Times New Roman" w:cs="Times New Roman"/>
              </w:rPr>
            </w:pPr>
            <w:r>
              <w:rPr>
                <w:rFonts w:ascii="Times New Roman" w:hAnsi="Times New Roman"/>
              </w:rPr>
              <w:t>Adapt the sorting possibilities to the stage of the construction process. Packaging waste occurs, for example, primarily in the fitting out phase.</w:t>
            </w:r>
          </w:p>
          <w:p w:rsidR="00986D8E" w:rsidRDefault="00A970A3">
            <w:pPr>
              <w:pStyle w:val="TableParagraph"/>
              <w:numPr>
                <w:ilvl w:val="0"/>
                <w:numId w:val="1"/>
              </w:numPr>
              <w:tabs>
                <w:tab w:val="left" w:pos="464"/>
              </w:tabs>
              <w:spacing w:before="79"/>
              <w:ind w:right="182"/>
              <w:rPr>
                <w:rFonts w:ascii="Times New Roman" w:eastAsia="Times New Roman" w:hAnsi="Times New Roman" w:cs="Times New Roman"/>
              </w:rPr>
            </w:pPr>
            <w:r>
              <w:rPr>
                <w:rFonts w:ascii="Times New Roman" w:hAnsi="Times New Roman"/>
              </w:rPr>
              <w:t>All pallets of standard format shall be reused. These can, for example, be returned according to the Retursystem Byggpall system (</w:t>
            </w:r>
            <w:hyperlink r:id="rId6">
              <w:r>
                <w:rPr>
                  <w:rFonts w:ascii="Times New Roman" w:hAnsi="Times New Roman"/>
                  <w:color w:val="0462C1"/>
                  <w:u w:val="single" w:color="0462C1"/>
                </w:rPr>
                <w:t>www.byggpall.se</w:t>
              </w:r>
            </w:hyperlink>
            <w:r>
              <w:rPr>
                <w:rFonts w:ascii="Times New Roman" w:hAnsi="Times New Roman"/>
              </w:rPr>
              <w:t>) or to the supplier.</w:t>
            </w:r>
          </w:p>
          <w:p w:rsidR="00986D8E" w:rsidRDefault="00A970A3">
            <w:pPr>
              <w:pStyle w:val="TableParagraph"/>
              <w:numPr>
                <w:ilvl w:val="0"/>
                <w:numId w:val="1"/>
              </w:numPr>
              <w:tabs>
                <w:tab w:val="left" w:pos="464"/>
              </w:tabs>
              <w:spacing w:before="80"/>
              <w:rPr>
                <w:rFonts w:ascii="Times New Roman" w:eastAsia="Times New Roman" w:hAnsi="Times New Roman" w:cs="Times New Roman"/>
              </w:rPr>
            </w:pPr>
            <w:r>
              <w:rPr>
                <w:rFonts w:ascii="Times New Roman" w:hAnsi="Times New Roman"/>
              </w:rPr>
              <w:t>Cable drums should be returned to the supplier.</w:t>
            </w:r>
          </w:p>
          <w:p w:rsidR="00986D8E" w:rsidRDefault="00A970A3">
            <w:pPr>
              <w:pStyle w:val="TableParagraph"/>
              <w:numPr>
                <w:ilvl w:val="0"/>
                <w:numId w:val="1"/>
              </w:numPr>
              <w:tabs>
                <w:tab w:val="left" w:pos="464"/>
              </w:tabs>
              <w:spacing w:before="79"/>
              <w:rPr>
                <w:rFonts w:ascii="Times New Roman" w:eastAsia="Times New Roman" w:hAnsi="Times New Roman" w:cs="Times New Roman"/>
              </w:rPr>
            </w:pPr>
            <w:r>
              <w:rPr>
                <w:rFonts w:ascii="Times New Roman" w:hAnsi="Times New Roman"/>
              </w:rPr>
              <w:t>Plastic refers to plastic for material recovery.</w:t>
            </w:r>
          </w:p>
          <w:p w:rsidR="00986D8E" w:rsidRDefault="00A970A3">
            <w:pPr>
              <w:pStyle w:val="TableParagraph"/>
              <w:numPr>
                <w:ilvl w:val="0"/>
                <w:numId w:val="1"/>
              </w:numPr>
              <w:tabs>
                <w:tab w:val="left" w:pos="464"/>
              </w:tabs>
              <w:spacing w:before="80"/>
              <w:ind w:right="149"/>
              <w:rPr>
                <w:rFonts w:ascii="Times New Roman" w:eastAsia="Times New Roman" w:hAnsi="Times New Roman" w:cs="Times New Roman"/>
              </w:rPr>
            </w:pPr>
            <w:r>
              <w:rPr>
                <w:rFonts w:ascii="Times New Roman" w:hAnsi="Times New Roman"/>
              </w:rPr>
              <w:t>Wooden packaging that is not included in the system for reuse is sorted together with other wooden waste.</w:t>
            </w:r>
          </w:p>
          <w:p w:rsidR="00986D8E" w:rsidRDefault="00A970A3">
            <w:pPr>
              <w:pStyle w:val="TableParagraph"/>
              <w:numPr>
                <w:ilvl w:val="0"/>
                <w:numId w:val="1"/>
              </w:numPr>
              <w:tabs>
                <w:tab w:val="left" w:pos="464"/>
              </w:tabs>
              <w:spacing w:before="80"/>
              <w:ind w:right="110"/>
              <w:rPr>
                <w:rFonts w:ascii="Times New Roman" w:eastAsia="Times New Roman" w:hAnsi="Times New Roman" w:cs="Times New Roman"/>
              </w:rPr>
            </w:pPr>
            <w:r>
              <w:rPr>
                <w:rFonts w:ascii="Times New Roman" w:hAnsi="Times New Roman"/>
              </w:rPr>
              <w:t>Plaster and mineral wool is sorted out into separate fractions regardless of whether they will be sent to material recovery or landfill. See Section 5.2 in the main report.</w:t>
            </w:r>
          </w:p>
        </w:tc>
      </w:tr>
    </w:tbl>
    <w:p w:rsidR="00986D8E" w:rsidRDefault="00A970A3">
      <w:pPr>
        <w:pStyle w:val="Brdtext"/>
        <w:spacing w:before="69"/>
        <w:ind w:left="4593" w:right="4592"/>
        <w:jc w:val="center"/>
      </w:pPr>
      <w:r>
        <w:t>1</w:t>
      </w:r>
    </w:p>
    <w:sectPr w:rsidR="00986D8E">
      <w:type w:val="continuous"/>
      <w:pgSz w:w="11910" w:h="16840"/>
      <w:pgMar w:top="88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EB9"/>
    <w:multiLevelType w:val="hybridMultilevel"/>
    <w:tmpl w:val="9664F286"/>
    <w:lvl w:ilvl="0" w:tplc="8DA6BE20">
      <w:start w:val="1"/>
      <w:numFmt w:val="bullet"/>
      <w:lvlText w:val="▪"/>
      <w:lvlJc w:val="left"/>
      <w:pPr>
        <w:ind w:left="463" w:hanging="360"/>
      </w:pPr>
      <w:rPr>
        <w:rFonts w:ascii="Microsoft Sans Serif" w:eastAsia="Microsoft Sans Serif" w:hAnsi="Microsoft Sans Serif" w:hint="default"/>
        <w:w w:val="99"/>
        <w:sz w:val="22"/>
        <w:szCs w:val="22"/>
      </w:rPr>
    </w:lvl>
    <w:lvl w:ilvl="1" w:tplc="6B7CFBB2">
      <w:start w:val="1"/>
      <w:numFmt w:val="bullet"/>
      <w:lvlText w:val="•"/>
      <w:lvlJc w:val="left"/>
      <w:pPr>
        <w:ind w:left="893" w:hanging="360"/>
      </w:pPr>
      <w:rPr>
        <w:rFonts w:hint="default"/>
      </w:rPr>
    </w:lvl>
    <w:lvl w:ilvl="2" w:tplc="91D05EB2">
      <w:start w:val="1"/>
      <w:numFmt w:val="bullet"/>
      <w:lvlText w:val="•"/>
      <w:lvlJc w:val="left"/>
      <w:pPr>
        <w:ind w:left="1326" w:hanging="360"/>
      </w:pPr>
      <w:rPr>
        <w:rFonts w:hint="default"/>
      </w:rPr>
    </w:lvl>
    <w:lvl w:ilvl="3" w:tplc="38A8DCD8">
      <w:start w:val="1"/>
      <w:numFmt w:val="bullet"/>
      <w:lvlText w:val="•"/>
      <w:lvlJc w:val="left"/>
      <w:pPr>
        <w:ind w:left="1760" w:hanging="360"/>
      </w:pPr>
      <w:rPr>
        <w:rFonts w:hint="default"/>
      </w:rPr>
    </w:lvl>
    <w:lvl w:ilvl="4" w:tplc="D71C093E">
      <w:start w:val="1"/>
      <w:numFmt w:val="bullet"/>
      <w:lvlText w:val="•"/>
      <w:lvlJc w:val="left"/>
      <w:pPr>
        <w:ind w:left="2193" w:hanging="360"/>
      </w:pPr>
      <w:rPr>
        <w:rFonts w:hint="default"/>
      </w:rPr>
    </w:lvl>
    <w:lvl w:ilvl="5" w:tplc="CF22F6F0">
      <w:start w:val="1"/>
      <w:numFmt w:val="bullet"/>
      <w:lvlText w:val="•"/>
      <w:lvlJc w:val="left"/>
      <w:pPr>
        <w:ind w:left="2626" w:hanging="360"/>
      </w:pPr>
      <w:rPr>
        <w:rFonts w:hint="default"/>
      </w:rPr>
    </w:lvl>
    <w:lvl w:ilvl="6" w:tplc="F9443B6A">
      <w:start w:val="1"/>
      <w:numFmt w:val="bullet"/>
      <w:lvlText w:val="•"/>
      <w:lvlJc w:val="left"/>
      <w:pPr>
        <w:ind w:left="3060" w:hanging="360"/>
      </w:pPr>
      <w:rPr>
        <w:rFonts w:hint="default"/>
      </w:rPr>
    </w:lvl>
    <w:lvl w:ilvl="7" w:tplc="A478377A">
      <w:start w:val="1"/>
      <w:numFmt w:val="bullet"/>
      <w:lvlText w:val="•"/>
      <w:lvlJc w:val="left"/>
      <w:pPr>
        <w:ind w:left="3493" w:hanging="360"/>
      </w:pPr>
      <w:rPr>
        <w:rFonts w:hint="default"/>
      </w:rPr>
    </w:lvl>
    <w:lvl w:ilvl="8" w:tplc="C45692E8">
      <w:start w:val="1"/>
      <w:numFmt w:val="bullet"/>
      <w:lvlText w:val="•"/>
      <w:lvlJc w:val="left"/>
      <w:pPr>
        <w:ind w:left="3927" w:hanging="360"/>
      </w:pPr>
      <w:rPr>
        <w:rFonts w:hint="default"/>
      </w:rPr>
    </w:lvl>
  </w:abstractNum>
  <w:abstractNum w:abstractNumId="1" w15:restartNumberingAfterBreak="0">
    <w:nsid w:val="27BD36DE"/>
    <w:multiLevelType w:val="hybridMultilevel"/>
    <w:tmpl w:val="5A747D4E"/>
    <w:lvl w:ilvl="0" w:tplc="B1905E60">
      <w:start w:val="1"/>
      <w:numFmt w:val="bullet"/>
      <w:lvlText w:val="▪"/>
      <w:lvlJc w:val="left"/>
      <w:pPr>
        <w:ind w:left="463" w:hanging="361"/>
      </w:pPr>
      <w:rPr>
        <w:rFonts w:ascii="Microsoft Sans Serif" w:eastAsia="Microsoft Sans Serif" w:hAnsi="Microsoft Sans Serif" w:hint="default"/>
        <w:w w:val="99"/>
        <w:sz w:val="22"/>
        <w:szCs w:val="22"/>
      </w:rPr>
    </w:lvl>
    <w:lvl w:ilvl="1" w:tplc="200CCF9E">
      <w:start w:val="1"/>
      <w:numFmt w:val="bullet"/>
      <w:lvlText w:val="•"/>
      <w:lvlJc w:val="left"/>
      <w:pPr>
        <w:ind w:left="839" w:hanging="361"/>
      </w:pPr>
      <w:rPr>
        <w:rFonts w:hint="default"/>
      </w:rPr>
    </w:lvl>
    <w:lvl w:ilvl="2" w:tplc="91A4AD82">
      <w:start w:val="1"/>
      <w:numFmt w:val="bullet"/>
      <w:lvlText w:val="•"/>
      <w:lvlJc w:val="left"/>
      <w:pPr>
        <w:ind w:left="1218" w:hanging="361"/>
      </w:pPr>
      <w:rPr>
        <w:rFonts w:hint="default"/>
      </w:rPr>
    </w:lvl>
    <w:lvl w:ilvl="3" w:tplc="FCB8E51E">
      <w:start w:val="1"/>
      <w:numFmt w:val="bullet"/>
      <w:lvlText w:val="•"/>
      <w:lvlJc w:val="left"/>
      <w:pPr>
        <w:ind w:left="1597" w:hanging="361"/>
      </w:pPr>
      <w:rPr>
        <w:rFonts w:hint="default"/>
      </w:rPr>
    </w:lvl>
    <w:lvl w:ilvl="4" w:tplc="4D46CB08">
      <w:start w:val="1"/>
      <w:numFmt w:val="bullet"/>
      <w:lvlText w:val="•"/>
      <w:lvlJc w:val="left"/>
      <w:pPr>
        <w:ind w:left="1976" w:hanging="361"/>
      </w:pPr>
      <w:rPr>
        <w:rFonts w:hint="default"/>
      </w:rPr>
    </w:lvl>
    <w:lvl w:ilvl="5" w:tplc="9AB0C15E">
      <w:start w:val="1"/>
      <w:numFmt w:val="bullet"/>
      <w:lvlText w:val="•"/>
      <w:lvlJc w:val="left"/>
      <w:pPr>
        <w:ind w:left="2355" w:hanging="361"/>
      </w:pPr>
      <w:rPr>
        <w:rFonts w:hint="default"/>
      </w:rPr>
    </w:lvl>
    <w:lvl w:ilvl="6" w:tplc="BACA679E">
      <w:start w:val="1"/>
      <w:numFmt w:val="bullet"/>
      <w:lvlText w:val="•"/>
      <w:lvlJc w:val="left"/>
      <w:pPr>
        <w:ind w:left="2734" w:hanging="361"/>
      </w:pPr>
      <w:rPr>
        <w:rFonts w:hint="default"/>
      </w:rPr>
    </w:lvl>
    <w:lvl w:ilvl="7" w:tplc="87D0BA92">
      <w:start w:val="1"/>
      <w:numFmt w:val="bullet"/>
      <w:lvlText w:val="•"/>
      <w:lvlJc w:val="left"/>
      <w:pPr>
        <w:ind w:left="3113" w:hanging="361"/>
      </w:pPr>
      <w:rPr>
        <w:rFonts w:hint="default"/>
      </w:rPr>
    </w:lvl>
    <w:lvl w:ilvl="8" w:tplc="FC445BB8">
      <w:start w:val="1"/>
      <w:numFmt w:val="bullet"/>
      <w:lvlText w:val="•"/>
      <w:lvlJc w:val="left"/>
      <w:pPr>
        <w:ind w:left="3492"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86D8E"/>
    <w:rsid w:val="00031E6F"/>
    <w:rsid w:val="00796DAF"/>
    <w:rsid w:val="00986D8E"/>
    <w:rsid w:val="009D5E8C"/>
    <w:rsid w:val="00A970A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5E0B0BE-8304-4FF0-A16D-09397217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pPr>
      <w:spacing w:before="80"/>
      <w:ind w:left="137"/>
    </w:pPr>
    <w:rPr>
      <w:rFonts w:ascii="Times New Roman" w:eastAsia="Times New Roman" w:hAnsi="Times New Roman"/>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yggpall.se/" TargetMode="External"/><Relationship Id="rId5" Type="http://schemas.openxmlformats.org/officeDocument/2006/relationships/hyperlink" Target="http://www.recycling.se/be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2444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Avfallsfraktioner vid byggproduktion – basnivå</vt:lpstr>
    </vt:vector>
  </TitlesOfParts>
  <Company>Fasttranslator</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Avfallsfraktioner vid byggproduktion – basnivå</dc:title>
  <dc:creator>Gunilla Bernevi Rex</dc:creator>
  <cp:lastModifiedBy>Hedberg, Marianne</cp:lastModifiedBy>
  <cp:revision>2</cp:revision>
  <dcterms:created xsi:type="dcterms:W3CDTF">2019-09-05T08:23:00Z</dcterms:created>
  <dcterms:modified xsi:type="dcterms:W3CDTF">2019-09-05T08:23:00Z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Creator">
    <vt:lpwstr>Microsoft® Word för Office 365</vt:lpwstr>
  </property>
  <property fmtid="{D5CDD505-2E9C-101B-9397-08002B2CF9AE}" pid="4" name="LastSaved">
    <vt:filetime>2019-06-11T00:00:00Z</vt:filetime>
  </property>
</Properties>
</file>