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7591" w14:textId="6DBDE45C" w:rsidR="007809E4" w:rsidRDefault="007809E4" w:rsidP="007809E4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06086B" wp14:editId="4CDE6ED3">
            <wp:extent cx="2924175" cy="447040"/>
            <wp:effectExtent l="0" t="0" r="9525" b="0"/>
            <wp:docPr id="3" name="Bildobjekt 3" descr="En bild som visar dator, inomhus, sitter, bärbar dato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bild som visar dator, inomhus, sitter, bärbar dato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22" cy="45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8DAB" w14:textId="77777777" w:rsidR="007809E4" w:rsidRDefault="007809E4" w:rsidP="007809E4">
      <w:pPr>
        <w:rPr>
          <w:b/>
          <w:sz w:val="28"/>
          <w:szCs w:val="28"/>
          <w:u w:val="single"/>
        </w:rPr>
      </w:pPr>
    </w:p>
    <w:p w14:paraId="368FA082" w14:textId="77777777" w:rsidR="006B16F4" w:rsidRDefault="006B16F4" w:rsidP="007809E4">
      <w:pPr>
        <w:rPr>
          <w:b/>
          <w:sz w:val="28"/>
          <w:szCs w:val="28"/>
          <w:u w:val="single"/>
        </w:rPr>
        <w:sectPr w:rsidR="006B16F4" w:rsidSect="007809E4">
          <w:headerReference w:type="first" r:id="rId13"/>
          <w:type w:val="continuous"/>
          <w:pgSz w:w="11906" w:h="16838" w:code="9"/>
          <w:pgMar w:top="1417" w:right="1417" w:bottom="1417" w:left="1417" w:header="1134" w:footer="771" w:gutter="0"/>
          <w:cols w:num="2" w:space="708"/>
          <w:docGrid w:linePitch="360"/>
        </w:sectPr>
      </w:pPr>
    </w:p>
    <w:p w14:paraId="7FF819E0" w14:textId="77777777" w:rsidR="006B16F4" w:rsidRDefault="006B16F4" w:rsidP="007809E4">
      <w:pPr>
        <w:rPr>
          <w:b/>
          <w:sz w:val="28"/>
          <w:szCs w:val="28"/>
          <w:u w:val="single"/>
        </w:rPr>
      </w:pPr>
    </w:p>
    <w:p w14:paraId="15E48C2C" w14:textId="3F0D6568" w:rsidR="007809E4" w:rsidRDefault="007809E4" w:rsidP="007809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PM – BYGGSTÖLDER</w:t>
      </w:r>
    </w:p>
    <w:p w14:paraId="072FE594" w14:textId="0903EC72" w:rsidR="00712D71" w:rsidRPr="00B44856" w:rsidRDefault="007809E4" w:rsidP="007809E4">
      <w:pPr>
        <w:rPr>
          <w:bCs/>
          <w:i/>
          <w:iCs/>
          <w:sz w:val="24"/>
          <w:szCs w:val="24"/>
        </w:rPr>
      </w:pPr>
      <w:r w:rsidRPr="0032008B">
        <w:rPr>
          <w:bCs/>
          <w:i/>
          <w:iCs/>
          <w:sz w:val="24"/>
          <w:szCs w:val="24"/>
        </w:rPr>
        <w:t>Byggföretagen gör återkommande kartläggningar i för bygg- och anläggningsbranschen relevanta frågor. Statistiken som används i detta faktablad om stölder från byggarbetsplatser är hämtad från</w:t>
      </w:r>
      <w:r w:rsidR="006B16F4" w:rsidRPr="0032008B">
        <w:rPr>
          <w:bCs/>
          <w:i/>
          <w:iCs/>
          <w:sz w:val="24"/>
          <w:szCs w:val="24"/>
        </w:rPr>
        <w:t xml:space="preserve"> </w:t>
      </w:r>
      <w:r w:rsidRPr="0032008B">
        <w:rPr>
          <w:bCs/>
          <w:i/>
          <w:iCs/>
          <w:sz w:val="24"/>
          <w:szCs w:val="24"/>
        </w:rPr>
        <w:t xml:space="preserve">Brottsförebyggande rådet, Brå. </w:t>
      </w:r>
      <w:r w:rsidR="006B16F4" w:rsidRPr="0032008B">
        <w:rPr>
          <w:bCs/>
          <w:i/>
          <w:iCs/>
          <w:sz w:val="24"/>
          <w:szCs w:val="24"/>
        </w:rPr>
        <w:t xml:space="preserve"> </w:t>
      </w:r>
      <w:r w:rsidRPr="0032008B">
        <w:rPr>
          <w:bCs/>
          <w:i/>
          <w:iCs/>
          <w:sz w:val="24"/>
          <w:szCs w:val="24"/>
        </w:rPr>
        <w:t xml:space="preserve">För frågor kring innehållet i rapporten hänvisas till kommunikationschef Håkan Lind, 072-226 80 66. </w:t>
      </w:r>
    </w:p>
    <w:p w14:paraId="36FE1C1B" w14:textId="4D88FB2B" w:rsidR="00993677" w:rsidRDefault="007809E4" w:rsidP="007809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Sammanfattande utveckling</w:t>
      </w:r>
    </w:p>
    <w:p w14:paraId="67BC1060" w14:textId="497F7420" w:rsidR="007809E4" w:rsidRDefault="007809E4" w:rsidP="0032008B">
      <w:pPr>
        <w:pStyle w:val="Liststycke"/>
        <w:numPr>
          <w:ilvl w:val="0"/>
          <w:numId w:val="22"/>
        </w:numPr>
        <w:rPr>
          <w:bCs/>
          <w:sz w:val="24"/>
          <w:szCs w:val="24"/>
        </w:rPr>
      </w:pPr>
      <w:r w:rsidRPr="0032008B">
        <w:rPr>
          <w:bCs/>
          <w:sz w:val="24"/>
          <w:szCs w:val="24"/>
        </w:rPr>
        <w:t xml:space="preserve">Stölder från byggarbetsplatser är ett återkommande problem för bygg- och anläggningsbranschen. </w:t>
      </w:r>
    </w:p>
    <w:p w14:paraId="3996BD67" w14:textId="6C59E3BC" w:rsidR="00200382" w:rsidRPr="0032008B" w:rsidRDefault="00200382" w:rsidP="0032008B">
      <w:pPr>
        <w:pStyle w:val="Liststycke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Brottsförebyggande rådet</w:t>
      </w:r>
      <w:r w:rsidR="00711C9D">
        <w:rPr>
          <w:bCs/>
          <w:sz w:val="24"/>
          <w:szCs w:val="24"/>
        </w:rPr>
        <w:t>s nya statistik</w:t>
      </w:r>
      <w:r>
        <w:rPr>
          <w:bCs/>
          <w:sz w:val="24"/>
          <w:szCs w:val="24"/>
        </w:rPr>
        <w:t xml:space="preserve"> visar på 8 208 anmälda byggstölder under 2019</w:t>
      </w:r>
      <w:r w:rsidR="00E67226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 xml:space="preserve">vilket ger </w:t>
      </w:r>
      <w:proofErr w:type="gramStart"/>
      <w:r>
        <w:rPr>
          <w:bCs/>
          <w:sz w:val="24"/>
          <w:szCs w:val="24"/>
        </w:rPr>
        <w:t>en snitt</w:t>
      </w:r>
      <w:proofErr w:type="gramEnd"/>
      <w:r>
        <w:rPr>
          <w:bCs/>
          <w:sz w:val="24"/>
          <w:szCs w:val="24"/>
        </w:rPr>
        <w:t xml:space="preserve"> på </w:t>
      </w:r>
      <w:r w:rsidR="0099007D">
        <w:rPr>
          <w:bCs/>
          <w:sz w:val="24"/>
          <w:szCs w:val="24"/>
        </w:rPr>
        <w:t xml:space="preserve">över 20 </w:t>
      </w:r>
      <w:r>
        <w:rPr>
          <w:bCs/>
          <w:sz w:val="24"/>
          <w:szCs w:val="24"/>
        </w:rPr>
        <w:t xml:space="preserve">stölder per dag. </w:t>
      </w:r>
    </w:p>
    <w:p w14:paraId="711CC944" w14:textId="5103EA6E" w:rsidR="00711C9D" w:rsidRDefault="00711C9D" w:rsidP="00711C9D">
      <w:pPr>
        <w:pStyle w:val="Liststycke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7809E4" w:rsidRPr="0032008B">
        <w:rPr>
          <w:bCs/>
          <w:sz w:val="24"/>
          <w:szCs w:val="24"/>
        </w:rPr>
        <w:t xml:space="preserve">yggstölderna </w:t>
      </w:r>
      <w:r>
        <w:rPr>
          <w:bCs/>
          <w:sz w:val="24"/>
          <w:szCs w:val="24"/>
        </w:rPr>
        <w:t xml:space="preserve">har </w:t>
      </w:r>
      <w:r w:rsidR="007809E4" w:rsidRPr="0032008B">
        <w:rPr>
          <w:bCs/>
          <w:sz w:val="24"/>
          <w:szCs w:val="24"/>
        </w:rPr>
        <w:t>ökat från 6 280 anmälda stölder/år till 8 208 anmälda stölder/år</w:t>
      </w:r>
      <w:r>
        <w:rPr>
          <w:bCs/>
          <w:sz w:val="24"/>
          <w:szCs w:val="24"/>
        </w:rPr>
        <w:t xml:space="preserve"> sedan Polisens omorganisering 2015</w:t>
      </w:r>
      <w:r w:rsidR="007809E4" w:rsidRPr="0032008B">
        <w:rPr>
          <w:bCs/>
          <w:sz w:val="24"/>
          <w:szCs w:val="24"/>
        </w:rPr>
        <w:t xml:space="preserve">. </w:t>
      </w:r>
      <w:r w:rsidR="006B16F4" w:rsidRPr="0032008B">
        <w:rPr>
          <w:bCs/>
          <w:sz w:val="24"/>
          <w:szCs w:val="24"/>
        </w:rPr>
        <w:t>Ö</w:t>
      </w:r>
      <w:r w:rsidR="007809E4" w:rsidRPr="0032008B">
        <w:rPr>
          <w:bCs/>
          <w:sz w:val="24"/>
          <w:szCs w:val="24"/>
        </w:rPr>
        <w:t>kning</w:t>
      </w:r>
      <w:r w:rsidR="006B16F4" w:rsidRPr="0032008B">
        <w:rPr>
          <w:bCs/>
          <w:sz w:val="24"/>
          <w:szCs w:val="24"/>
        </w:rPr>
        <w:t>en</w:t>
      </w:r>
      <w:r w:rsidR="007809E4" w:rsidRPr="0032008B">
        <w:rPr>
          <w:bCs/>
          <w:sz w:val="24"/>
          <w:szCs w:val="24"/>
        </w:rPr>
        <w:t xml:space="preserve"> </w:t>
      </w:r>
      <w:r w:rsidR="006B16F4" w:rsidRPr="0032008B">
        <w:rPr>
          <w:bCs/>
          <w:sz w:val="24"/>
          <w:szCs w:val="24"/>
        </w:rPr>
        <w:t>motsvarar</w:t>
      </w:r>
      <w:r w:rsidR="007809E4" w:rsidRPr="0032008B">
        <w:rPr>
          <w:bCs/>
          <w:sz w:val="24"/>
          <w:szCs w:val="24"/>
        </w:rPr>
        <w:t xml:space="preserve"> </w:t>
      </w:r>
      <w:r w:rsidR="006B16F4" w:rsidRPr="0032008B">
        <w:rPr>
          <w:bCs/>
          <w:sz w:val="24"/>
          <w:szCs w:val="24"/>
        </w:rPr>
        <w:t>30 procent</w:t>
      </w:r>
      <w:r w:rsidR="00E67226">
        <w:rPr>
          <w:bCs/>
          <w:sz w:val="24"/>
          <w:szCs w:val="24"/>
        </w:rPr>
        <w:t>.</w:t>
      </w:r>
      <w:r w:rsidR="006B16F4" w:rsidRPr="0032008B">
        <w:rPr>
          <w:bCs/>
          <w:sz w:val="24"/>
          <w:szCs w:val="24"/>
        </w:rPr>
        <w:t xml:space="preserve"> </w:t>
      </w:r>
    </w:p>
    <w:p w14:paraId="5C98EDA2" w14:textId="13814190" w:rsidR="00990C6F" w:rsidRPr="00711C9D" w:rsidRDefault="00990C6F" w:rsidP="00711C9D">
      <w:pPr>
        <w:pStyle w:val="Liststycke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Mellan 2018 och 2019 ökade byggstölderna i fyra av sju polisregioner (Mitt, Sthlm, Syd och Bergslagen)</w:t>
      </w:r>
      <w:r w:rsidR="0099007D">
        <w:rPr>
          <w:bCs/>
          <w:sz w:val="24"/>
          <w:szCs w:val="24"/>
        </w:rPr>
        <w:t xml:space="preserve"> medan stölderna minskade i tre (Nord, Öst, Väst). </w:t>
      </w:r>
    </w:p>
    <w:p w14:paraId="4E1F9A5F" w14:textId="43D7285A" w:rsidR="007809E4" w:rsidRPr="001E28A3" w:rsidRDefault="007809E4" w:rsidP="007809E4">
      <w:pPr>
        <w:rPr>
          <w:b/>
          <w:sz w:val="28"/>
          <w:szCs w:val="28"/>
          <w:u w:val="single"/>
        </w:rPr>
      </w:pPr>
      <w:r w:rsidRPr="001E28A3">
        <w:rPr>
          <w:b/>
          <w:sz w:val="28"/>
          <w:szCs w:val="28"/>
          <w:u w:val="single"/>
        </w:rPr>
        <w:t xml:space="preserve">Beräknade kostnader </w:t>
      </w:r>
    </w:p>
    <w:p w14:paraId="2D71FE76" w14:textId="58DF1DDB" w:rsidR="007809E4" w:rsidRPr="00711C9D" w:rsidRDefault="007809E4" w:rsidP="00711C9D">
      <w:pPr>
        <w:pStyle w:val="Liststycke"/>
        <w:numPr>
          <w:ilvl w:val="0"/>
          <w:numId w:val="23"/>
        </w:numPr>
        <w:rPr>
          <w:sz w:val="24"/>
          <w:szCs w:val="24"/>
        </w:rPr>
      </w:pPr>
      <w:r w:rsidRPr="00711C9D">
        <w:rPr>
          <w:sz w:val="24"/>
          <w:szCs w:val="24"/>
        </w:rPr>
        <w:t xml:space="preserve">Bygg- och arbetsmaskiner, eldrivna handmaskiner, byggnadsställningar, vitvaror och dörrar är några exempel på vad som stjäls. </w:t>
      </w:r>
    </w:p>
    <w:p w14:paraId="555EF3F8" w14:textId="4E92A013" w:rsidR="007809E4" w:rsidRDefault="007809E4" w:rsidP="00711C9D">
      <w:pPr>
        <w:pStyle w:val="Liststycke"/>
        <w:numPr>
          <w:ilvl w:val="0"/>
          <w:numId w:val="23"/>
        </w:numPr>
      </w:pPr>
      <w:r w:rsidRPr="00711C9D">
        <w:rPr>
          <w:sz w:val="24"/>
          <w:szCs w:val="24"/>
        </w:rPr>
        <w:t xml:space="preserve">Värdet av det stulna beloppet är svårt att uppskatta. </w:t>
      </w:r>
      <w:r w:rsidR="006B16F4" w:rsidRPr="00711C9D">
        <w:rPr>
          <w:sz w:val="24"/>
          <w:szCs w:val="24"/>
        </w:rPr>
        <w:t xml:space="preserve">Byggföretagen </w:t>
      </w:r>
      <w:r w:rsidRPr="00711C9D">
        <w:rPr>
          <w:sz w:val="24"/>
          <w:szCs w:val="24"/>
        </w:rPr>
        <w:t>gjorde 2012 en beräkning som visade att stölderna motsvarade drygt 1,5 miljarder kronor. Med hänsyn till att stölderna ökat med</w:t>
      </w:r>
      <w:r w:rsidR="006B16F4" w:rsidRPr="00711C9D">
        <w:rPr>
          <w:sz w:val="24"/>
          <w:szCs w:val="24"/>
        </w:rPr>
        <w:t xml:space="preserve"> över 30 procent </w:t>
      </w:r>
      <w:r w:rsidRPr="00711C9D">
        <w:rPr>
          <w:sz w:val="24"/>
          <w:szCs w:val="24"/>
        </w:rPr>
        <w:t>är det sannolikt att det samlade värdet på stöldgodset ligger en bra bit över 2 miljarder kronor</w:t>
      </w:r>
      <w:r>
        <w:t>.</w:t>
      </w:r>
    </w:p>
    <w:p w14:paraId="36C25A98" w14:textId="77777777" w:rsidR="007809E4" w:rsidRPr="001E28A3" w:rsidRDefault="007809E4" w:rsidP="007809E4">
      <w:pPr>
        <w:rPr>
          <w:b/>
          <w:u w:val="single"/>
        </w:rPr>
      </w:pPr>
      <w:r w:rsidRPr="001E28A3">
        <w:rPr>
          <w:b/>
          <w:sz w:val="28"/>
          <w:szCs w:val="28"/>
          <w:u w:val="single"/>
        </w:rPr>
        <w:t xml:space="preserve">Vad behöver politiken göra? </w:t>
      </w:r>
      <w:r w:rsidRPr="001E28A3">
        <w:rPr>
          <w:b/>
          <w:u w:val="single"/>
        </w:rPr>
        <w:t xml:space="preserve">  </w:t>
      </w:r>
    </w:p>
    <w:p w14:paraId="5ACDE4A5" w14:textId="77777777" w:rsidR="007809E4" w:rsidRPr="001729AB" w:rsidRDefault="007809E4" w:rsidP="007809E4">
      <w:pPr>
        <w:pStyle w:val="Liststycke"/>
        <w:numPr>
          <w:ilvl w:val="0"/>
          <w:numId w:val="20"/>
        </w:numPr>
        <w:spacing w:after="0"/>
        <w:contextualSpacing/>
        <w:rPr>
          <w:sz w:val="24"/>
          <w:szCs w:val="24"/>
        </w:rPr>
      </w:pPr>
      <w:r w:rsidRPr="001729AB">
        <w:rPr>
          <w:sz w:val="24"/>
          <w:szCs w:val="24"/>
        </w:rPr>
        <w:t xml:space="preserve">Polisen behöver tillräckliga resurser och tydliga direktiv att uthålligt kunna verka mot </w:t>
      </w:r>
      <w:proofErr w:type="gramStart"/>
      <w:r w:rsidRPr="001729AB">
        <w:rPr>
          <w:sz w:val="24"/>
          <w:szCs w:val="24"/>
        </w:rPr>
        <w:t>t ex</w:t>
      </w:r>
      <w:proofErr w:type="gramEnd"/>
      <w:r w:rsidRPr="001729AB">
        <w:rPr>
          <w:sz w:val="24"/>
          <w:szCs w:val="24"/>
        </w:rPr>
        <w:t xml:space="preserve"> internationella stöldligor.</w:t>
      </w:r>
    </w:p>
    <w:p w14:paraId="5F550EC4" w14:textId="77777777" w:rsidR="006B16F4" w:rsidRPr="006B16F4" w:rsidRDefault="006B16F4" w:rsidP="006B16F4">
      <w:pPr>
        <w:spacing w:after="0"/>
        <w:contextualSpacing/>
        <w:rPr>
          <w:sz w:val="24"/>
          <w:szCs w:val="24"/>
        </w:rPr>
      </w:pPr>
    </w:p>
    <w:p w14:paraId="2F69E839" w14:textId="74BEE5EF" w:rsidR="007809E4" w:rsidRDefault="007809E4" w:rsidP="006B16F4">
      <w:pPr>
        <w:pStyle w:val="Liststycke"/>
        <w:numPr>
          <w:ilvl w:val="0"/>
          <w:numId w:val="18"/>
        </w:numPr>
        <w:spacing w:after="0"/>
        <w:contextualSpacing/>
        <w:rPr>
          <w:sz w:val="24"/>
          <w:szCs w:val="24"/>
        </w:rPr>
      </w:pPr>
      <w:r w:rsidRPr="001729AB">
        <w:rPr>
          <w:sz w:val="24"/>
          <w:szCs w:val="24"/>
        </w:rPr>
        <w:t xml:space="preserve">Det behövs strategisk bevakning av hamnar och andra utförselvägar för stöldgodset. </w:t>
      </w:r>
      <w:r>
        <w:rPr>
          <w:sz w:val="24"/>
          <w:szCs w:val="24"/>
        </w:rPr>
        <w:t>Fler t</w:t>
      </w:r>
      <w:r w:rsidRPr="001729AB">
        <w:rPr>
          <w:sz w:val="24"/>
          <w:szCs w:val="24"/>
        </w:rPr>
        <w:t>ekniska hjälpmedel som kameror, avancerad röntgenutrustning och utrustning som spårar illegala störsändare kan bidra till ökad upptäcktsrisk.</w:t>
      </w:r>
    </w:p>
    <w:p w14:paraId="5A8805C6" w14:textId="77777777" w:rsidR="006B16F4" w:rsidRPr="006B16F4" w:rsidRDefault="006B16F4" w:rsidP="006B16F4">
      <w:pPr>
        <w:pStyle w:val="Liststycke"/>
        <w:spacing w:after="0"/>
        <w:contextualSpacing/>
        <w:rPr>
          <w:sz w:val="24"/>
          <w:szCs w:val="24"/>
        </w:rPr>
      </w:pPr>
    </w:p>
    <w:p w14:paraId="0CFE9685" w14:textId="77777777" w:rsidR="007809E4" w:rsidRPr="001729AB" w:rsidRDefault="007809E4" w:rsidP="007809E4">
      <w:pPr>
        <w:pStyle w:val="Liststycke"/>
        <w:numPr>
          <w:ilvl w:val="0"/>
          <w:numId w:val="18"/>
        </w:numPr>
        <w:spacing w:after="0"/>
        <w:contextualSpacing/>
        <w:rPr>
          <w:sz w:val="24"/>
          <w:szCs w:val="24"/>
        </w:rPr>
      </w:pPr>
      <w:r w:rsidRPr="001729AB">
        <w:rPr>
          <w:sz w:val="24"/>
          <w:szCs w:val="24"/>
        </w:rPr>
        <w:t>Den straffskärpning för inbrottsstöld som har diskuterats i åratal måste slutligen genomföras.</w:t>
      </w:r>
    </w:p>
    <w:p w14:paraId="1DE12E8E" w14:textId="77777777" w:rsidR="007809E4" w:rsidRPr="001729AB" w:rsidRDefault="007809E4" w:rsidP="007809E4">
      <w:pPr>
        <w:pStyle w:val="Liststycke"/>
        <w:spacing w:after="0"/>
        <w:rPr>
          <w:sz w:val="24"/>
          <w:szCs w:val="24"/>
        </w:rPr>
      </w:pPr>
    </w:p>
    <w:p w14:paraId="62C3C6F0" w14:textId="77777777" w:rsidR="007809E4" w:rsidRPr="001729AB" w:rsidRDefault="007809E4" w:rsidP="007809E4">
      <w:pPr>
        <w:pStyle w:val="Liststycke"/>
        <w:numPr>
          <w:ilvl w:val="0"/>
          <w:numId w:val="18"/>
        </w:numPr>
        <w:spacing w:after="0"/>
        <w:contextualSpacing/>
        <w:rPr>
          <w:sz w:val="24"/>
          <w:szCs w:val="24"/>
        </w:rPr>
      </w:pPr>
      <w:r w:rsidRPr="001729AB">
        <w:rPr>
          <w:sz w:val="24"/>
          <w:szCs w:val="24"/>
        </w:rPr>
        <w:t>Skadestånd bör regelmässigt krävas in från dömda gärningsmän även när tillgångarna finns i utlandet.</w:t>
      </w:r>
    </w:p>
    <w:p w14:paraId="0BB3DEBA" w14:textId="77777777" w:rsidR="007809E4" w:rsidRPr="001729AB" w:rsidRDefault="007809E4" w:rsidP="007809E4">
      <w:pPr>
        <w:spacing w:after="0"/>
        <w:ind w:left="360"/>
        <w:rPr>
          <w:sz w:val="24"/>
          <w:szCs w:val="24"/>
        </w:rPr>
      </w:pPr>
    </w:p>
    <w:p w14:paraId="198FAC20" w14:textId="6FA951ED" w:rsidR="007809E4" w:rsidRDefault="007809E4" w:rsidP="005C7D44">
      <w:pPr>
        <w:pStyle w:val="Liststycke"/>
        <w:numPr>
          <w:ilvl w:val="0"/>
          <w:numId w:val="18"/>
        </w:numPr>
        <w:spacing w:after="0"/>
        <w:contextualSpacing/>
        <w:rPr>
          <w:sz w:val="24"/>
          <w:szCs w:val="24"/>
        </w:rPr>
      </w:pPr>
      <w:r w:rsidRPr="006B16F4">
        <w:rPr>
          <w:sz w:val="24"/>
          <w:szCs w:val="24"/>
        </w:rPr>
        <w:t xml:space="preserve">Åklagare och domstolar behöver bli bättre på att bedöma om enskilda stölder är del av organiserad brottslighet. </w:t>
      </w:r>
    </w:p>
    <w:p w14:paraId="4DB8DE7E" w14:textId="77777777" w:rsidR="006B16F4" w:rsidRPr="006B16F4" w:rsidRDefault="006B16F4" w:rsidP="006B16F4">
      <w:pPr>
        <w:spacing w:after="0"/>
        <w:contextualSpacing/>
        <w:rPr>
          <w:sz w:val="24"/>
          <w:szCs w:val="24"/>
        </w:rPr>
      </w:pPr>
    </w:p>
    <w:p w14:paraId="37CAF482" w14:textId="77777777" w:rsidR="007809E4" w:rsidRPr="001729AB" w:rsidRDefault="007809E4" w:rsidP="007809E4">
      <w:pPr>
        <w:pStyle w:val="Liststycke"/>
        <w:numPr>
          <w:ilvl w:val="0"/>
          <w:numId w:val="18"/>
        </w:numPr>
        <w:spacing w:after="0"/>
        <w:contextualSpacing/>
        <w:rPr>
          <w:sz w:val="24"/>
          <w:szCs w:val="24"/>
        </w:rPr>
      </w:pPr>
      <w:r w:rsidRPr="001729AB">
        <w:rPr>
          <w:sz w:val="24"/>
          <w:szCs w:val="24"/>
        </w:rPr>
        <w:t>Det behövs även en förbättrad samordning på EU-nivå, främst genom Europol, för att varaktigt slå undan benen för de internationella stöldligorna.</w:t>
      </w:r>
    </w:p>
    <w:p w14:paraId="7B740EE1" w14:textId="636180A4" w:rsidR="00B44856" w:rsidRDefault="00B44856" w:rsidP="007809E4">
      <w:pPr>
        <w:rPr>
          <w:b/>
          <w:sz w:val="28"/>
          <w:szCs w:val="28"/>
          <w:u w:val="single"/>
        </w:rPr>
        <w:sectPr w:rsidR="00B44856" w:rsidSect="006B16F4">
          <w:type w:val="continuous"/>
          <w:pgSz w:w="11906" w:h="16838" w:code="9"/>
          <w:pgMar w:top="1417" w:right="1417" w:bottom="1417" w:left="1417" w:header="1134" w:footer="771" w:gutter="0"/>
          <w:cols w:space="708"/>
          <w:docGrid w:linePitch="360"/>
        </w:sectPr>
      </w:pPr>
    </w:p>
    <w:p w14:paraId="12951782" w14:textId="7CB39371" w:rsidR="0099007D" w:rsidRDefault="0099007D" w:rsidP="00DA5DC1">
      <w:pPr>
        <w:rPr>
          <w:i/>
          <w:iCs/>
        </w:rPr>
      </w:pPr>
    </w:p>
    <w:p w14:paraId="24CA1F06" w14:textId="641B715C" w:rsidR="0099007D" w:rsidRDefault="000E308B" w:rsidP="00DA5DC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Antal b</w:t>
      </w:r>
      <w:r w:rsidR="00457DFA">
        <w:rPr>
          <w:b/>
          <w:bCs/>
          <w:sz w:val="28"/>
          <w:szCs w:val="28"/>
          <w:u w:val="single"/>
        </w:rPr>
        <w:t>yggstölder per region</w:t>
      </w:r>
      <w:r w:rsidR="0099007D" w:rsidRPr="0099007D">
        <w:rPr>
          <w:b/>
          <w:bCs/>
          <w:sz w:val="28"/>
          <w:szCs w:val="28"/>
          <w:u w:val="single"/>
        </w:rPr>
        <w:t>:</w:t>
      </w:r>
    </w:p>
    <w:p w14:paraId="66084703" w14:textId="77777777" w:rsidR="00993677" w:rsidRPr="00993677" w:rsidRDefault="00993677" w:rsidP="00DA5DC1">
      <w:pPr>
        <w:rPr>
          <w:b/>
          <w:bCs/>
          <w:sz w:val="28"/>
          <w:szCs w:val="28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9007D" w14:paraId="101772DA" w14:textId="77777777" w:rsidTr="00990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6C4B2307" w14:textId="679B51E6" w:rsidR="0099007D" w:rsidRDefault="0099007D" w:rsidP="00DA5DC1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Polisregion</w:t>
            </w:r>
          </w:p>
        </w:tc>
        <w:tc>
          <w:tcPr>
            <w:tcW w:w="2268" w:type="dxa"/>
          </w:tcPr>
          <w:p w14:paraId="198BB6A3" w14:textId="20948E11" w:rsidR="0099007D" w:rsidRDefault="0099007D" w:rsidP="00DA5DC1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14:paraId="1FEA3EB1" w14:textId="1C1A8E4F" w:rsidR="0099007D" w:rsidRDefault="0099007D" w:rsidP="00DA5DC1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14:paraId="7873DDF8" w14:textId="434EE415" w:rsidR="0099007D" w:rsidRDefault="0099007D" w:rsidP="00DA5DC1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Trend</w:t>
            </w:r>
          </w:p>
        </w:tc>
      </w:tr>
      <w:tr w:rsidR="0099007D" w14:paraId="79A0C871" w14:textId="77777777" w:rsidTr="00990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6E9DBD21" w14:textId="30384F1B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Nord</w:t>
            </w:r>
          </w:p>
        </w:tc>
        <w:tc>
          <w:tcPr>
            <w:tcW w:w="2268" w:type="dxa"/>
          </w:tcPr>
          <w:p w14:paraId="346D9413" w14:textId="5BC2F673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401</w:t>
            </w:r>
          </w:p>
        </w:tc>
        <w:tc>
          <w:tcPr>
            <w:tcW w:w="2268" w:type="dxa"/>
          </w:tcPr>
          <w:p w14:paraId="6AD664C2" w14:textId="0AFC7657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393</w:t>
            </w:r>
          </w:p>
        </w:tc>
        <w:tc>
          <w:tcPr>
            <w:tcW w:w="2268" w:type="dxa"/>
          </w:tcPr>
          <w:p w14:paraId="3DE447BC" w14:textId="45655A6C" w:rsidR="0099007D" w:rsidRPr="0099007D" w:rsidRDefault="0099007D" w:rsidP="0099007D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-</w:t>
            </w:r>
            <w:proofErr w:type="gramStart"/>
            <w:r w:rsidRPr="0099007D">
              <w:rPr>
                <w:sz w:val="28"/>
                <w:szCs w:val="28"/>
              </w:rPr>
              <w:t>8</w:t>
            </w:r>
            <w:r w:rsidR="00393434">
              <w:rPr>
                <w:sz w:val="28"/>
                <w:szCs w:val="28"/>
              </w:rPr>
              <w:t xml:space="preserve"> </w:t>
            </w:r>
            <w:proofErr w:type="spellStart"/>
            <w:r w:rsidR="00393434">
              <w:rPr>
                <w:sz w:val="28"/>
                <w:szCs w:val="28"/>
              </w:rPr>
              <w:t>st</w:t>
            </w:r>
            <w:proofErr w:type="spellEnd"/>
            <w:proofErr w:type="gramEnd"/>
          </w:p>
        </w:tc>
      </w:tr>
      <w:tr w:rsidR="0099007D" w14:paraId="51DF95AA" w14:textId="77777777" w:rsidTr="0099007D">
        <w:tc>
          <w:tcPr>
            <w:tcW w:w="2268" w:type="dxa"/>
          </w:tcPr>
          <w:p w14:paraId="28368C64" w14:textId="3CB5524F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Mitt</w:t>
            </w:r>
          </w:p>
        </w:tc>
        <w:tc>
          <w:tcPr>
            <w:tcW w:w="2268" w:type="dxa"/>
          </w:tcPr>
          <w:p w14:paraId="4FB49D30" w14:textId="7DD5EE6F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591</w:t>
            </w:r>
          </w:p>
        </w:tc>
        <w:tc>
          <w:tcPr>
            <w:tcW w:w="2268" w:type="dxa"/>
          </w:tcPr>
          <w:p w14:paraId="5EFF1181" w14:textId="35BD0A9E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596</w:t>
            </w:r>
          </w:p>
        </w:tc>
        <w:tc>
          <w:tcPr>
            <w:tcW w:w="2268" w:type="dxa"/>
          </w:tcPr>
          <w:p w14:paraId="7A4F5E3F" w14:textId="233AAEF4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+</w:t>
            </w:r>
            <w:proofErr w:type="gramStart"/>
            <w:r w:rsidRPr="0099007D">
              <w:rPr>
                <w:sz w:val="28"/>
                <w:szCs w:val="28"/>
              </w:rPr>
              <w:t>5</w:t>
            </w:r>
            <w:r w:rsidR="00393434">
              <w:rPr>
                <w:sz w:val="28"/>
                <w:szCs w:val="28"/>
              </w:rPr>
              <w:t xml:space="preserve"> </w:t>
            </w:r>
            <w:proofErr w:type="spellStart"/>
            <w:r w:rsidR="00393434">
              <w:rPr>
                <w:sz w:val="28"/>
                <w:szCs w:val="28"/>
              </w:rPr>
              <w:t>st</w:t>
            </w:r>
            <w:proofErr w:type="spellEnd"/>
            <w:proofErr w:type="gramEnd"/>
          </w:p>
        </w:tc>
      </w:tr>
      <w:tr w:rsidR="0099007D" w14:paraId="055AC214" w14:textId="77777777" w:rsidTr="00990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097D817D" w14:textId="376B9180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Sthlm</w:t>
            </w:r>
          </w:p>
        </w:tc>
        <w:tc>
          <w:tcPr>
            <w:tcW w:w="2268" w:type="dxa"/>
          </w:tcPr>
          <w:p w14:paraId="2EDD4D03" w14:textId="3CC8240A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2845</w:t>
            </w:r>
          </w:p>
        </w:tc>
        <w:tc>
          <w:tcPr>
            <w:tcW w:w="2268" w:type="dxa"/>
          </w:tcPr>
          <w:p w14:paraId="7AE03332" w14:textId="2C6D0FD0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2915</w:t>
            </w:r>
          </w:p>
        </w:tc>
        <w:tc>
          <w:tcPr>
            <w:tcW w:w="2268" w:type="dxa"/>
          </w:tcPr>
          <w:p w14:paraId="0618ED78" w14:textId="7ADF0D6D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+</w:t>
            </w:r>
            <w:proofErr w:type="gramStart"/>
            <w:r w:rsidRPr="0099007D">
              <w:rPr>
                <w:sz w:val="28"/>
                <w:szCs w:val="28"/>
              </w:rPr>
              <w:t>70</w:t>
            </w:r>
            <w:r w:rsidR="00393434">
              <w:rPr>
                <w:sz w:val="28"/>
                <w:szCs w:val="28"/>
              </w:rPr>
              <w:t xml:space="preserve"> </w:t>
            </w:r>
            <w:proofErr w:type="spellStart"/>
            <w:r w:rsidR="00393434">
              <w:rPr>
                <w:sz w:val="28"/>
                <w:szCs w:val="28"/>
              </w:rPr>
              <w:t>st</w:t>
            </w:r>
            <w:proofErr w:type="spellEnd"/>
            <w:proofErr w:type="gramEnd"/>
          </w:p>
        </w:tc>
      </w:tr>
      <w:tr w:rsidR="0099007D" w14:paraId="6B9B7D27" w14:textId="77777777" w:rsidTr="0099007D">
        <w:tc>
          <w:tcPr>
            <w:tcW w:w="2268" w:type="dxa"/>
          </w:tcPr>
          <w:p w14:paraId="05D43690" w14:textId="39D391C9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Öst</w:t>
            </w:r>
          </w:p>
        </w:tc>
        <w:tc>
          <w:tcPr>
            <w:tcW w:w="2268" w:type="dxa"/>
          </w:tcPr>
          <w:p w14:paraId="393DD5C1" w14:textId="2C8FA30B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926</w:t>
            </w:r>
          </w:p>
        </w:tc>
        <w:tc>
          <w:tcPr>
            <w:tcW w:w="2268" w:type="dxa"/>
          </w:tcPr>
          <w:p w14:paraId="143E23BC" w14:textId="100F2126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886</w:t>
            </w:r>
          </w:p>
        </w:tc>
        <w:tc>
          <w:tcPr>
            <w:tcW w:w="2268" w:type="dxa"/>
          </w:tcPr>
          <w:p w14:paraId="2EED95E0" w14:textId="400DC4CA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-</w:t>
            </w:r>
            <w:proofErr w:type="gramStart"/>
            <w:r w:rsidRPr="0099007D">
              <w:rPr>
                <w:sz w:val="28"/>
                <w:szCs w:val="28"/>
              </w:rPr>
              <w:t>40</w:t>
            </w:r>
            <w:r w:rsidR="00393434">
              <w:rPr>
                <w:sz w:val="28"/>
                <w:szCs w:val="28"/>
              </w:rPr>
              <w:t xml:space="preserve"> </w:t>
            </w:r>
            <w:proofErr w:type="spellStart"/>
            <w:r w:rsidR="00393434">
              <w:rPr>
                <w:sz w:val="28"/>
                <w:szCs w:val="28"/>
              </w:rPr>
              <w:t>st</w:t>
            </w:r>
            <w:proofErr w:type="spellEnd"/>
            <w:proofErr w:type="gramEnd"/>
          </w:p>
        </w:tc>
      </w:tr>
      <w:tr w:rsidR="0099007D" w14:paraId="26B8EFEF" w14:textId="77777777" w:rsidTr="00990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471D25A6" w14:textId="681EC022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Väst</w:t>
            </w:r>
          </w:p>
        </w:tc>
        <w:tc>
          <w:tcPr>
            <w:tcW w:w="2268" w:type="dxa"/>
          </w:tcPr>
          <w:p w14:paraId="443A1B1C" w14:textId="2B3FCE12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1648</w:t>
            </w:r>
          </w:p>
        </w:tc>
        <w:tc>
          <w:tcPr>
            <w:tcW w:w="2268" w:type="dxa"/>
          </w:tcPr>
          <w:p w14:paraId="042ED7CB" w14:textId="61CFC626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1471</w:t>
            </w:r>
          </w:p>
        </w:tc>
        <w:tc>
          <w:tcPr>
            <w:tcW w:w="2268" w:type="dxa"/>
          </w:tcPr>
          <w:p w14:paraId="14193953" w14:textId="061E545B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-</w:t>
            </w:r>
            <w:proofErr w:type="gramStart"/>
            <w:r w:rsidRPr="0099007D">
              <w:rPr>
                <w:sz w:val="28"/>
                <w:szCs w:val="28"/>
              </w:rPr>
              <w:t>177</w:t>
            </w:r>
            <w:r w:rsidR="00393434">
              <w:rPr>
                <w:sz w:val="28"/>
                <w:szCs w:val="28"/>
              </w:rPr>
              <w:t xml:space="preserve"> </w:t>
            </w:r>
            <w:proofErr w:type="spellStart"/>
            <w:r w:rsidR="00393434">
              <w:rPr>
                <w:sz w:val="28"/>
                <w:szCs w:val="28"/>
              </w:rPr>
              <w:t>st</w:t>
            </w:r>
            <w:proofErr w:type="spellEnd"/>
            <w:proofErr w:type="gramEnd"/>
          </w:p>
        </w:tc>
      </w:tr>
      <w:tr w:rsidR="0099007D" w14:paraId="083EE5D5" w14:textId="77777777" w:rsidTr="0099007D">
        <w:tc>
          <w:tcPr>
            <w:tcW w:w="2268" w:type="dxa"/>
          </w:tcPr>
          <w:p w14:paraId="1FD961F1" w14:textId="30EBE95A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Syd</w:t>
            </w:r>
          </w:p>
        </w:tc>
        <w:tc>
          <w:tcPr>
            <w:tcW w:w="2268" w:type="dxa"/>
          </w:tcPr>
          <w:p w14:paraId="718F2447" w14:textId="630BCD22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1393</w:t>
            </w:r>
          </w:p>
        </w:tc>
        <w:tc>
          <w:tcPr>
            <w:tcW w:w="2268" w:type="dxa"/>
          </w:tcPr>
          <w:p w14:paraId="1B6FADCF" w14:textId="4EE75AE2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1400</w:t>
            </w:r>
          </w:p>
        </w:tc>
        <w:tc>
          <w:tcPr>
            <w:tcW w:w="2268" w:type="dxa"/>
          </w:tcPr>
          <w:p w14:paraId="266B94F9" w14:textId="5848C270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+</w:t>
            </w:r>
            <w:proofErr w:type="gramStart"/>
            <w:r w:rsidRPr="0099007D">
              <w:rPr>
                <w:sz w:val="28"/>
                <w:szCs w:val="28"/>
              </w:rPr>
              <w:t>7</w:t>
            </w:r>
            <w:r w:rsidR="00393434">
              <w:rPr>
                <w:sz w:val="28"/>
                <w:szCs w:val="28"/>
              </w:rPr>
              <w:t xml:space="preserve"> </w:t>
            </w:r>
            <w:proofErr w:type="spellStart"/>
            <w:r w:rsidR="00393434">
              <w:rPr>
                <w:sz w:val="28"/>
                <w:szCs w:val="28"/>
              </w:rPr>
              <w:t>st</w:t>
            </w:r>
            <w:proofErr w:type="spellEnd"/>
            <w:proofErr w:type="gramEnd"/>
          </w:p>
        </w:tc>
      </w:tr>
      <w:tr w:rsidR="0099007D" w14:paraId="0522D8F1" w14:textId="77777777" w:rsidTr="00990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14:paraId="7003D9E4" w14:textId="54AC7BAD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Bergslagen</w:t>
            </w:r>
          </w:p>
        </w:tc>
        <w:tc>
          <w:tcPr>
            <w:tcW w:w="2268" w:type="dxa"/>
          </w:tcPr>
          <w:p w14:paraId="5ECB04E6" w14:textId="4874B47B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524</w:t>
            </w:r>
          </w:p>
        </w:tc>
        <w:tc>
          <w:tcPr>
            <w:tcW w:w="2268" w:type="dxa"/>
          </w:tcPr>
          <w:p w14:paraId="2D87DC2C" w14:textId="5A8DCBF4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547</w:t>
            </w:r>
          </w:p>
        </w:tc>
        <w:tc>
          <w:tcPr>
            <w:tcW w:w="2268" w:type="dxa"/>
          </w:tcPr>
          <w:p w14:paraId="50165E0C" w14:textId="24549F10" w:rsidR="0099007D" w:rsidRPr="0099007D" w:rsidRDefault="0099007D" w:rsidP="00DA5DC1">
            <w:pPr>
              <w:rPr>
                <w:sz w:val="28"/>
                <w:szCs w:val="28"/>
              </w:rPr>
            </w:pPr>
            <w:r w:rsidRPr="0099007D">
              <w:rPr>
                <w:sz w:val="28"/>
                <w:szCs w:val="28"/>
              </w:rPr>
              <w:t>+23</w:t>
            </w:r>
            <w:r w:rsidR="00393434">
              <w:rPr>
                <w:sz w:val="28"/>
                <w:szCs w:val="28"/>
              </w:rPr>
              <w:t xml:space="preserve"> st</w:t>
            </w:r>
            <w:bookmarkStart w:id="0" w:name="_GoBack"/>
            <w:bookmarkEnd w:id="0"/>
          </w:p>
        </w:tc>
      </w:tr>
    </w:tbl>
    <w:p w14:paraId="6F016315" w14:textId="788EF962" w:rsidR="0099007D" w:rsidRDefault="0099007D" w:rsidP="00DA5DC1">
      <w:pPr>
        <w:rPr>
          <w:b/>
          <w:bCs/>
          <w:sz w:val="28"/>
          <w:szCs w:val="28"/>
        </w:rPr>
      </w:pPr>
    </w:p>
    <w:p w14:paraId="5A85BF5F" w14:textId="07110DCE" w:rsidR="00457DFA" w:rsidRPr="00457DFA" w:rsidRDefault="00457DFA" w:rsidP="0099007D">
      <w:pPr>
        <w:contextualSpacing/>
        <w:rPr>
          <w:bCs/>
          <w:i/>
          <w:iCs/>
          <w:szCs w:val="20"/>
        </w:rPr>
      </w:pPr>
      <w:r w:rsidRPr="00457DFA">
        <w:rPr>
          <w:bCs/>
          <w:i/>
          <w:iCs/>
          <w:szCs w:val="20"/>
        </w:rPr>
        <w:t>Källa: Brottsförebyggande rådet</w:t>
      </w:r>
    </w:p>
    <w:p w14:paraId="67758B14" w14:textId="7467BC7F" w:rsidR="0099007D" w:rsidRPr="00200382" w:rsidRDefault="0099007D" w:rsidP="0099007D">
      <w:pPr>
        <w:contextualSpacing/>
        <w:rPr>
          <w:b/>
          <w:sz w:val="24"/>
          <w:szCs w:val="24"/>
        </w:rPr>
        <w:sectPr w:rsidR="0099007D" w:rsidRPr="00200382" w:rsidSect="006B16F4">
          <w:type w:val="continuous"/>
          <w:pgSz w:w="11906" w:h="16838" w:code="9"/>
          <w:pgMar w:top="1417" w:right="1417" w:bottom="1417" w:left="1417" w:header="1134" w:footer="771" w:gutter="0"/>
          <w:cols w:space="708"/>
          <w:docGrid w:linePitch="360"/>
        </w:sectPr>
      </w:pPr>
    </w:p>
    <w:p w14:paraId="236574A8" w14:textId="77777777" w:rsidR="0099007D" w:rsidRDefault="0099007D" w:rsidP="0099007D">
      <w:pPr>
        <w:sectPr w:rsidR="0099007D" w:rsidSect="006B16F4">
          <w:type w:val="continuous"/>
          <w:pgSz w:w="11906" w:h="16838" w:code="9"/>
          <w:pgMar w:top="1417" w:right="1417" w:bottom="1417" w:left="1417" w:header="1134" w:footer="771" w:gutter="0"/>
          <w:cols w:space="708"/>
          <w:docGrid w:linePitch="360"/>
        </w:sectPr>
      </w:pPr>
    </w:p>
    <w:p w14:paraId="200223E8" w14:textId="77777777" w:rsidR="0099007D" w:rsidRPr="0099007D" w:rsidRDefault="0099007D" w:rsidP="00DA5DC1">
      <w:pPr>
        <w:rPr>
          <w:b/>
          <w:bCs/>
          <w:sz w:val="28"/>
          <w:szCs w:val="28"/>
        </w:rPr>
      </w:pPr>
    </w:p>
    <w:sectPr w:rsidR="0099007D" w:rsidRPr="0099007D" w:rsidSect="006B16F4">
      <w:type w:val="continuous"/>
      <w:pgSz w:w="11906" w:h="16838" w:code="9"/>
      <w:pgMar w:top="1417" w:right="1417" w:bottom="1417" w:left="1417" w:header="1134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9D464" w14:textId="77777777" w:rsidR="001E5055" w:rsidRDefault="001E5055" w:rsidP="00ED6C6F">
      <w:pPr>
        <w:spacing w:after="0"/>
      </w:pPr>
      <w:r>
        <w:separator/>
      </w:r>
    </w:p>
  </w:endnote>
  <w:endnote w:type="continuationSeparator" w:id="0">
    <w:p w14:paraId="0466AA2D" w14:textId="77777777" w:rsidR="001E5055" w:rsidRDefault="001E5055" w:rsidP="00ED6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D95B" w14:textId="77777777" w:rsidR="001E5055" w:rsidRDefault="001E5055" w:rsidP="00ED6C6F">
      <w:pPr>
        <w:spacing w:after="0"/>
      </w:pPr>
      <w:r>
        <w:separator/>
      </w:r>
    </w:p>
  </w:footnote>
  <w:footnote w:type="continuationSeparator" w:id="0">
    <w:p w14:paraId="2A7CA9B3" w14:textId="77777777" w:rsidR="001E5055" w:rsidRDefault="001E5055" w:rsidP="00ED6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007E0" w14:textId="77777777" w:rsidR="002C6E62" w:rsidRDefault="002C6E62" w:rsidP="002C6E62">
    <w:pPr>
      <w:pStyle w:val="Sidhuvud"/>
      <w:spacing w:after="12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D07C43"/>
    <w:multiLevelType w:val="hybridMultilevel"/>
    <w:tmpl w:val="2EB06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227A"/>
    <w:multiLevelType w:val="multilevel"/>
    <w:tmpl w:val="37E46CF4"/>
    <w:lvl w:ilvl="0">
      <w:start w:val="1"/>
      <w:numFmt w:val="bullet"/>
      <w:pStyle w:val="Punktlista"/>
      <w:lvlText w:val=""/>
      <w:lvlJc w:val="left"/>
      <w:pPr>
        <w:ind w:left="357" w:hanging="357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pStyle w:val="Punktlista2"/>
      <w:lvlText w:val="–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42" w:hanging="35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hanging="35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hanging="35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13" w:hanging="357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CC28E4"/>
    <w:multiLevelType w:val="hybridMultilevel"/>
    <w:tmpl w:val="DD64E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52C0A"/>
    <w:multiLevelType w:val="hybridMultilevel"/>
    <w:tmpl w:val="C9DED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BA3022"/>
    <w:multiLevelType w:val="hybridMultilevel"/>
    <w:tmpl w:val="56206A64"/>
    <w:lvl w:ilvl="0" w:tplc="40BCCA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33C02"/>
    <w:multiLevelType w:val="hybridMultilevel"/>
    <w:tmpl w:val="68223CFC"/>
    <w:lvl w:ilvl="0" w:tplc="DD92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32C5D"/>
    <w:multiLevelType w:val="hybridMultilevel"/>
    <w:tmpl w:val="4D76F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717BF"/>
    <w:multiLevelType w:val="hybridMultilevel"/>
    <w:tmpl w:val="4E708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5E12"/>
    <w:multiLevelType w:val="hybridMultilevel"/>
    <w:tmpl w:val="4EFA4CCC"/>
    <w:lvl w:ilvl="0" w:tplc="A11EAD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74E2C"/>
    <w:multiLevelType w:val="hybridMultilevel"/>
    <w:tmpl w:val="6D2C9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3"/>
  </w:num>
  <w:num w:numId="20">
    <w:abstractNumId w:val="21"/>
  </w:num>
  <w:num w:numId="21">
    <w:abstractNumId w:val="19"/>
  </w:num>
  <w:num w:numId="22">
    <w:abstractNumId w:val="14"/>
  </w:num>
  <w:num w:numId="23">
    <w:abstractNumId w:val="8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55"/>
    <w:rsid w:val="00021827"/>
    <w:rsid w:val="00023162"/>
    <w:rsid w:val="00023CF5"/>
    <w:rsid w:val="00027A03"/>
    <w:rsid w:val="000304A9"/>
    <w:rsid w:val="00034051"/>
    <w:rsid w:val="00035827"/>
    <w:rsid w:val="0004018F"/>
    <w:rsid w:val="000428AA"/>
    <w:rsid w:val="00052384"/>
    <w:rsid w:val="00065CCA"/>
    <w:rsid w:val="00066149"/>
    <w:rsid w:val="0007449B"/>
    <w:rsid w:val="00081E07"/>
    <w:rsid w:val="00083807"/>
    <w:rsid w:val="00090F42"/>
    <w:rsid w:val="000910E4"/>
    <w:rsid w:val="000927CE"/>
    <w:rsid w:val="00092A6A"/>
    <w:rsid w:val="000967A1"/>
    <w:rsid w:val="000A259F"/>
    <w:rsid w:val="000A34F5"/>
    <w:rsid w:val="000A3C76"/>
    <w:rsid w:val="000B2FBC"/>
    <w:rsid w:val="000B4971"/>
    <w:rsid w:val="000C1983"/>
    <w:rsid w:val="000C60F9"/>
    <w:rsid w:val="000D29F7"/>
    <w:rsid w:val="000D3364"/>
    <w:rsid w:val="000D4286"/>
    <w:rsid w:val="000D60EC"/>
    <w:rsid w:val="000D787A"/>
    <w:rsid w:val="000E308B"/>
    <w:rsid w:val="0010206C"/>
    <w:rsid w:val="00102713"/>
    <w:rsid w:val="00104807"/>
    <w:rsid w:val="0011207E"/>
    <w:rsid w:val="00122D32"/>
    <w:rsid w:val="001274C5"/>
    <w:rsid w:val="00136C6B"/>
    <w:rsid w:val="00142663"/>
    <w:rsid w:val="00147F9F"/>
    <w:rsid w:val="001746ED"/>
    <w:rsid w:val="001768B2"/>
    <w:rsid w:val="001809E7"/>
    <w:rsid w:val="00184908"/>
    <w:rsid w:val="0019680D"/>
    <w:rsid w:val="00197A2F"/>
    <w:rsid w:val="001A7D3F"/>
    <w:rsid w:val="001B096D"/>
    <w:rsid w:val="001B2002"/>
    <w:rsid w:val="001B4BB9"/>
    <w:rsid w:val="001D1AEC"/>
    <w:rsid w:val="001E149C"/>
    <w:rsid w:val="001E1BA7"/>
    <w:rsid w:val="001E36B1"/>
    <w:rsid w:val="001E5055"/>
    <w:rsid w:val="001F3354"/>
    <w:rsid w:val="001F6809"/>
    <w:rsid w:val="001F6D4C"/>
    <w:rsid w:val="00200382"/>
    <w:rsid w:val="00202BF6"/>
    <w:rsid w:val="00220B93"/>
    <w:rsid w:val="00222674"/>
    <w:rsid w:val="0023052F"/>
    <w:rsid w:val="00230D2C"/>
    <w:rsid w:val="0023309C"/>
    <w:rsid w:val="002346A2"/>
    <w:rsid w:val="00235637"/>
    <w:rsid w:val="00236598"/>
    <w:rsid w:val="00237D8B"/>
    <w:rsid w:val="0024152E"/>
    <w:rsid w:val="002554F1"/>
    <w:rsid w:val="002579CD"/>
    <w:rsid w:val="002611BD"/>
    <w:rsid w:val="002943C2"/>
    <w:rsid w:val="002A223C"/>
    <w:rsid w:val="002B5940"/>
    <w:rsid w:val="002B7708"/>
    <w:rsid w:val="002C6E62"/>
    <w:rsid w:val="002D70E9"/>
    <w:rsid w:val="002E782E"/>
    <w:rsid w:val="002F7366"/>
    <w:rsid w:val="00302780"/>
    <w:rsid w:val="0032008B"/>
    <w:rsid w:val="00324BC6"/>
    <w:rsid w:val="00325211"/>
    <w:rsid w:val="00344721"/>
    <w:rsid w:val="0035044E"/>
    <w:rsid w:val="00357482"/>
    <w:rsid w:val="00374478"/>
    <w:rsid w:val="00376EB1"/>
    <w:rsid w:val="00392E7C"/>
    <w:rsid w:val="00393434"/>
    <w:rsid w:val="003977E2"/>
    <w:rsid w:val="003A0FEC"/>
    <w:rsid w:val="003A1C55"/>
    <w:rsid w:val="003A485F"/>
    <w:rsid w:val="003B2C70"/>
    <w:rsid w:val="003D1AD5"/>
    <w:rsid w:val="003E7004"/>
    <w:rsid w:val="003F0BD7"/>
    <w:rsid w:val="004004BD"/>
    <w:rsid w:val="00403B97"/>
    <w:rsid w:val="004046F0"/>
    <w:rsid w:val="00411FB3"/>
    <w:rsid w:val="004171A2"/>
    <w:rsid w:val="004216B9"/>
    <w:rsid w:val="004276EB"/>
    <w:rsid w:val="004457CA"/>
    <w:rsid w:val="004539FA"/>
    <w:rsid w:val="00457DFA"/>
    <w:rsid w:val="00463F60"/>
    <w:rsid w:val="00466ABB"/>
    <w:rsid w:val="00472FE4"/>
    <w:rsid w:val="00476DDD"/>
    <w:rsid w:val="00476E53"/>
    <w:rsid w:val="00481060"/>
    <w:rsid w:val="00483F66"/>
    <w:rsid w:val="00487221"/>
    <w:rsid w:val="004917AE"/>
    <w:rsid w:val="004C3F7E"/>
    <w:rsid w:val="004E08FC"/>
    <w:rsid w:val="004E0B05"/>
    <w:rsid w:val="004E1EB4"/>
    <w:rsid w:val="004E72C1"/>
    <w:rsid w:val="004F6E9F"/>
    <w:rsid w:val="00507D46"/>
    <w:rsid w:val="0051110C"/>
    <w:rsid w:val="005138E7"/>
    <w:rsid w:val="005166F6"/>
    <w:rsid w:val="00526BE0"/>
    <w:rsid w:val="0052782C"/>
    <w:rsid w:val="00531672"/>
    <w:rsid w:val="00531996"/>
    <w:rsid w:val="005377E7"/>
    <w:rsid w:val="005425CC"/>
    <w:rsid w:val="005537A8"/>
    <w:rsid w:val="00560FA2"/>
    <w:rsid w:val="005639C3"/>
    <w:rsid w:val="00571CB9"/>
    <w:rsid w:val="00575871"/>
    <w:rsid w:val="0059155E"/>
    <w:rsid w:val="00594D98"/>
    <w:rsid w:val="005A403A"/>
    <w:rsid w:val="005B5DCA"/>
    <w:rsid w:val="005C378E"/>
    <w:rsid w:val="005C6423"/>
    <w:rsid w:val="005E0CDB"/>
    <w:rsid w:val="005E74CC"/>
    <w:rsid w:val="005F29FB"/>
    <w:rsid w:val="005F3FB3"/>
    <w:rsid w:val="00606B0F"/>
    <w:rsid w:val="006137D6"/>
    <w:rsid w:val="00626E24"/>
    <w:rsid w:val="0064173A"/>
    <w:rsid w:val="006476D0"/>
    <w:rsid w:val="006647F6"/>
    <w:rsid w:val="00667A2F"/>
    <w:rsid w:val="00673E6E"/>
    <w:rsid w:val="00676E3F"/>
    <w:rsid w:val="0068012D"/>
    <w:rsid w:val="006816FC"/>
    <w:rsid w:val="006827F1"/>
    <w:rsid w:val="00693ED8"/>
    <w:rsid w:val="00697C2E"/>
    <w:rsid w:val="006A0258"/>
    <w:rsid w:val="006A60A8"/>
    <w:rsid w:val="006B16F4"/>
    <w:rsid w:val="006B3AC6"/>
    <w:rsid w:val="006C0636"/>
    <w:rsid w:val="006D0D89"/>
    <w:rsid w:val="006E43A5"/>
    <w:rsid w:val="00711C9D"/>
    <w:rsid w:val="00712D71"/>
    <w:rsid w:val="007320AD"/>
    <w:rsid w:val="00737193"/>
    <w:rsid w:val="00744EB6"/>
    <w:rsid w:val="00746B7F"/>
    <w:rsid w:val="0075333E"/>
    <w:rsid w:val="00756E83"/>
    <w:rsid w:val="00764899"/>
    <w:rsid w:val="00771600"/>
    <w:rsid w:val="00772B6E"/>
    <w:rsid w:val="00773FEC"/>
    <w:rsid w:val="007809E4"/>
    <w:rsid w:val="007829D2"/>
    <w:rsid w:val="00783074"/>
    <w:rsid w:val="0078430A"/>
    <w:rsid w:val="0078522D"/>
    <w:rsid w:val="007A0B53"/>
    <w:rsid w:val="007A7209"/>
    <w:rsid w:val="007B634A"/>
    <w:rsid w:val="007C5139"/>
    <w:rsid w:val="007D37D4"/>
    <w:rsid w:val="007D75E7"/>
    <w:rsid w:val="007E16FA"/>
    <w:rsid w:val="007E35A2"/>
    <w:rsid w:val="00801BBF"/>
    <w:rsid w:val="00817C55"/>
    <w:rsid w:val="008213C1"/>
    <w:rsid w:val="008215CB"/>
    <w:rsid w:val="00825CAD"/>
    <w:rsid w:val="00826A11"/>
    <w:rsid w:val="00834506"/>
    <w:rsid w:val="008345DF"/>
    <w:rsid w:val="00834E7E"/>
    <w:rsid w:val="00836A65"/>
    <w:rsid w:val="0083735B"/>
    <w:rsid w:val="0084379D"/>
    <w:rsid w:val="008574B7"/>
    <w:rsid w:val="008625B5"/>
    <w:rsid w:val="00866330"/>
    <w:rsid w:val="00870403"/>
    <w:rsid w:val="00875CBE"/>
    <w:rsid w:val="0087776A"/>
    <w:rsid w:val="008A2931"/>
    <w:rsid w:val="008A525C"/>
    <w:rsid w:val="008A7089"/>
    <w:rsid w:val="008B5C37"/>
    <w:rsid w:val="008B75D8"/>
    <w:rsid w:val="008C4D5E"/>
    <w:rsid w:val="008C5285"/>
    <w:rsid w:val="008D440D"/>
    <w:rsid w:val="008D4F31"/>
    <w:rsid w:val="008D6D53"/>
    <w:rsid w:val="008E44FF"/>
    <w:rsid w:val="008E6CAE"/>
    <w:rsid w:val="008F0300"/>
    <w:rsid w:val="00910C25"/>
    <w:rsid w:val="0091229C"/>
    <w:rsid w:val="009255D9"/>
    <w:rsid w:val="00936CF7"/>
    <w:rsid w:val="00937EDC"/>
    <w:rsid w:val="00940E68"/>
    <w:rsid w:val="00944100"/>
    <w:rsid w:val="0095279B"/>
    <w:rsid w:val="00952E0B"/>
    <w:rsid w:val="00972D16"/>
    <w:rsid w:val="00973775"/>
    <w:rsid w:val="00976057"/>
    <w:rsid w:val="0098639B"/>
    <w:rsid w:val="0099007D"/>
    <w:rsid w:val="0099082E"/>
    <w:rsid w:val="00990C6F"/>
    <w:rsid w:val="0099293C"/>
    <w:rsid w:val="00993677"/>
    <w:rsid w:val="009A07D5"/>
    <w:rsid w:val="009A1807"/>
    <w:rsid w:val="009A471D"/>
    <w:rsid w:val="009B2791"/>
    <w:rsid w:val="009C3FCA"/>
    <w:rsid w:val="009C631E"/>
    <w:rsid w:val="009D0DA6"/>
    <w:rsid w:val="009D509B"/>
    <w:rsid w:val="009E6EF9"/>
    <w:rsid w:val="009E7B9D"/>
    <w:rsid w:val="009E7EA7"/>
    <w:rsid w:val="009E7F82"/>
    <w:rsid w:val="009F31C7"/>
    <w:rsid w:val="00A0331B"/>
    <w:rsid w:val="00A076D6"/>
    <w:rsid w:val="00A12CCA"/>
    <w:rsid w:val="00A174A1"/>
    <w:rsid w:val="00A17B37"/>
    <w:rsid w:val="00A2125B"/>
    <w:rsid w:val="00A2133A"/>
    <w:rsid w:val="00A23320"/>
    <w:rsid w:val="00A51CEF"/>
    <w:rsid w:val="00A80C68"/>
    <w:rsid w:val="00A87B49"/>
    <w:rsid w:val="00A9620C"/>
    <w:rsid w:val="00A96DA2"/>
    <w:rsid w:val="00AA3009"/>
    <w:rsid w:val="00AA3A34"/>
    <w:rsid w:val="00AA5C9A"/>
    <w:rsid w:val="00AB24CA"/>
    <w:rsid w:val="00AB57E2"/>
    <w:rsid w:val="00AD070C"/>
    <w:rsid w:val="00AD354E"/>
    <w:rsid w:val="00AD5832"/>
    <w:rsid w:val="00AE0F4C"/>
    <w:rsid w:val="00AE1160"/>
    <w:rsid w:val="00AE3614"/>
    <w:rsid w:val="00AE7F4A"/>
    <w:rsid w:val="00AF5B57"/>
    <w:rsid w:val="00B11396"/>
    <w:rsid w:val="00B178AF"/>
    <w:rsid w:val="00B30455"/>
    <w:rsid w:val="00B4285A"/>
    <w:rsid w:val="00B44856"/>
    <w:rsid w:val="00B60945"/>
    <w:rsid w:val="00B6416A"/>
    <w:rsid w:val="00B64990"/>
    <w:rsid w:val="00B65085"/>
    <w:rsid w:val="00B71B19"/>
    <w:rsid w:val="00B85E02"/>
    <w:rsid w:val="00B90834"/>
    <w:rsid w:val="00B961EA"/>
    <w:rsid w:val="00BB48AC"/>
    <w:rsid w:val="00BB7B8B"/>
    <w:rsid w:val="00BD1A8C"/>
    <w:rsid w:val="00BE0327"/>
    <w:rsid w:val="00BE3F3D"/>
    <w:rsid w:val="00BE5178"/>
    <w:rsid w:val="00BE738A"/>
    <w:rsid w:val="00BF2434"/>
    <w:rsid w:val="00BF5A33"/>
    <w:rsid w:val="00BF6205"/>
    <w:rsid w:val="00BF6C0B"/>
    <w:rsid w:val="00C00430"/>
    <w:rsid w:val="00C02681"/>
    <w:rsid w:val="00C079B5"/>
    <w:rsid w:val="00C13434"/>
    <w:rsid w:val="00C14A74"/>
    <w:rsid w:val="00C20672"/>
    <w:rsid w:val="00C31D55"/>
    <w:rsid w:val="00C34A9B"/>
    <w:rsid w:val="00C3790F"/>
    <w:rsid w:val="00C4216C"/>
    <w:rsid w:val="00C63DA4"/>
    <w:rsid w:val="00CC149C"/>
    <w:rsid w:val="00CC3124"/>
    <w:rsid w:val="00CC3657"/>
    <w:rsid w:val="00CC56FF"/>
    <w:rsid w:val="00CD7804"/>
    <w:rsid w:val="00D070FF"/>
    <w:rsid w:val="00D2298A"/>
    <w:rsid w:val="00D4779E"/>
    <w:rsid w:val="00D530BA"/>
    <w:rsid w:val="00D86244"/>
    <w:rsid w:val="00DA01B9"/>
    <w:rsid w:val="00DA5DC1"/>
    <w:rsid w:val="00DD4D88"/>
    <w:rsid w:val="00DD5629"/>
    <w:rsid w:val="00DE7661"/>
    <w:rsid w:val="00DF0444"/>
    <w:rsid w:val="00DF42CC"/>
    <w:rsid w:val="00E05BFC"/>
    <w:rsid w:val="00E33025"/>
    <w:rsid w:val="00E3771D"/>
    <w:rsid w:val="00E47380"/>
    <w:rsid w:val="00E50040"/>
    <w:rsid w:val="00E66CA0"/>
    <w:rsid w:val="00E67226"/>
    <w:rsid w:val="00E7192E"/>
    <w:rsid w:val="00E87034"/>
    <w:rsid w:val="00EA2473"/>
    <w:rsid w:val="00EA34F6"/>
    <w:rsid w:val="00EB1E30"/>
    <w:rsid w:val="00EB60E6"/>
    <w:rsid w:val="00EB74CD"/>
    <w:rsid w:val="00EC5EB1"/>
    <w:rsid w:val="00ED45DB"/>
    <w:rsid w:val="00ED6C6F"/>
    <w:rsid w:val="00EE0514"/>
    <w:rsid w:val="00EE7735"/>
    <w:rsid w:val="00EF58B6"/>
    <w:rsid w:val="00F144C6"/>
    <w:rsid w:val="00F31C0D"/>
    <w:rsid w:val="00F4778E"/>
    <w:rsid w:val="00F5205D"/>
    <w:rsid w:val="00F61558"/>
    <w:rsid w:val="00F61F0E"/>
    <w:rsid w:val="00F717BE"/>
    <w:rsid w:val="00F72FE2"/>
    <w:rsid w:val="00F77BE4"/>
    <w:rsid w:val="00F822FD"/>
    <w:rsid w:val="00F85450"/>
    <w:rsid w:val="00FC6F9F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C6ED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84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9E4"/>
    <w:pPr>
      <w:spacing w:after="200" w:line="240" w:lineRule="auto"/>
    </w:pPr>
    <w:rPr>
      <w:rFonts w:ascii="Calibri" w:hAnsi="Calibri"/>
      <w:sz w:val="20"/>
      <w:szCs w:val="22"/>
    </w:rPr>
  </w:style>
  <w:style w:type="paragraph" w:styleId="Rubrik1">
    <w:name w:val="heading 1"/>
    <w:basedOn w:val="Rubrik"/>
    <w:next w:val="Normal"/>
    <w:link w:val="Rubrik1Char"/>
    <w:uiPriority w:val="9"/>
    <w:qFormat/>
    <w:rsid w:val="00FE2BC6"/>
    <w:pPr>
      <w:keepNext/>
      <w:keepLines/>
      <w:spacing w:after="120"/>
      <w:outlineLvl w:val="0"/>
    </w:pPr>
    <w:rPr>
      <w:sz w:val="24"/>
    </w:rPr>
  </w:style>
  <w:style w:type="paragraph" w:styleId="Rubrik2">
    <w:name w:val="heading 2"/>
    <w:basedOn w:val="Rubrik1"/>
    <w:next w:val="Normal"/>
    <w:link w:val="Rubrik2Char"/>
    <w:uiPriority w:val="9"/>
    <w:qFormat/>
    <w:rsid w:val="007A7209"/>
    <w:pPr>
      <w:spacing w:before="480"/>
      <w:outlineLvl w:val="1"/>
    </w:pPr>
    <w:rPr>
      <w:rFonts w:asciiTheme="minorHAnsi" w:hAnsiTheme="minorHAnsi"/>
      <w:b w:val="0"/>
      <w:bCs w:val="0"/>
    </w:rPr>
  </w:style>
  <w:style w:type="paragraph" w:styleId="Rubrik3">
    <w:name w:val="heading 3"/>
    <w:basedOn w:val="Rubrik2"/>
    <w:next w:val="Normal"/>
    <w:link w:val="Rubrik3Char"/>
    <w:uiPriority w:val="9"/>
    <w:qFormat/>
    <w:rsid w:val="00B60945"/>
    <w:pPr>
      <w:outlineLvl w:val="2"/>
    </w:pPr>
    <w:rPr>
      <w:b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B60945"/>
    <w:pPr>
      <w:outlineLvl w:val="3"/>
    </w:pPr>
    <w:rPr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2BC6"/>
    <w:rPr>
      <w:rFonts w:asciiTheme="majorHAnsi" w:eastAsiaTheme="majorEastAsia" w:hAnsiTheme="majorHAnsi" w:cstheme="majorBidi"/>
      <w:b/>
      <w:bCs/>
      <w:sz w:val="24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7A7209"/>
    <w:rPr>
      <w:rFonts w:eastAsiaTheme="majorEastAsia" w:cstheme="majorBidi"/>
      <w:sz w:val="24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B60945"/>
    <w:rPr>
      <w:rFonts w:eastAsiaTheme="majorEastAsia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0945"/>
    <w:rPr>
      <w:rFonts w:eastAsiaTheme="majorEastAsia" w:cstheme="majorBidi"/>
      <w:i/>
      <w:iCs/>
      <w:sz w:val="18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7A7209"/>
    <w:pPr>
      <w:keepNext/>
      <w:keepLines/>
      <w:spacing w:before="480" w:after="0"/>
    </w:pPr>
    <w:rPr>
      <w:rFonts w:asciiTheme="majorHAnsi" w:hAnsiTheme="majorHAnsi"/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23052F"/>
    <w:pPr>
      <w:spacing w:before="720" w:after="720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23052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23052F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23052F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3B2C70"/>
    <w:pPr>
      <w:tabs>
        <w:tab w:val="right" w:leader="dot" w:pos="9062"/>
      </w:tabs>
      <w:spacing w:after="100"/>
      <w:ind w:left="510" w:hanging="510"/>
    </w:pPr>
    <w:rPr>
      <w:noProof/>
      <w:sz w:val="22"/>
      <w:lang w:eastAsia="sv-SE"/>
    </w:rPr>
  </w:style>
  <w:style w:type="paragraph" w:styleId="Innehll2">
    <w:name w:val="toc 2"/>
    <w:basedOn w:val="Normal"/>
    <w:next w:val="Normal"/>
    <w:uiPriority w:val="39"/>
    <w:rsid w:val="000910E4"/>
    <w:pPr>
      <w:tabs>
        <w:tab w:val="right" w:leader="dot" w:pos="9062"/>
      </w:tabs>
      <w:spacing w:after="100"/>
      <w:ind w:left="1020" w:hanging="510"/>
    </w:pPr>
    <w:rPr>
      <w:noProof/>
    </w:rPr>
  </w:style>
  <w:style w:type="paragraph" w:styleId="Innehll3">
    <w:name w:val="toc 3"/>
    <w:basedOn w:val="Normal"/>
    <w:next w:val="Normal"/>
    <w:uiPriority w:val="39"/>
    <w:rsid w:val="003B2C70"/>
    <w:pPr>
      <w:tabs>
        <w:tab w:val="right" w:leader="dot" w:pos="9062"/>
      </w:tabs>
      <w:spacing w:after="100"/>
      <w:ind w:left="1531" w:hanging="510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23052F"/>
    <w:pPr>
      <w:tabs>
        <w:tab w:val="right" w:pos="6804"/>
        <w:tab w:val="right" w:pos="7370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3052F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1B096D"/>
    <w:pPr>
      <w:tabs>
        <w:tab w:val="left" w:pos="2267"/>
        <w:tab w:val="center" w:pos="4536"/>
        <w:tab w:val="right" w:pos="9072"/>
      </w:tabs>
      <w:spacing w:after="0" w:line="264" w:lineRule="auto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B096D"/>
    <w:rPr>
      <w:rFonts w:asciiTheme="majorHAnsi" w:hAnsiTheme="majorHAnsi"/>
      <w:noProof/>
      <w:sz w:val="16"/>
    </w:rPr>
  </w:style>
  <w:style w:type="paragraph" w:styleId="Punktlista">
    <w:name w:val="List Bullet"/>
    <w:basedOn w:val="Normal"/>
    <w:uiPriority w:val="24"/>
    <w:qFormat/>
    <w:rsid w:val="00C00430"/>
    <w:pPr>
      <w:numPr>
        <w:numId w:val="6"/>
      </w:numPr>
    </w:pPr>
  </w:style>
  <w:style w:type="paragraph" w:styleId="Numreradlista">
    <w:name w:val="List Number"/>
    <w:basedOn w:val="Normal"/>
    <w:uiPriority w:val="25"/>
    <w:qFormat/>
    <w:rsid w:val="0024152E"/>
    <w:pPr>
      <w:numPr>
        <w:numId w:val="1"/>
      </w:numPr>
      <w:spacing w:after="80"/>
      <w:ind w:left="357" w:hanging="357"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aliases w:val="Byggarbetarföretagen"/>
    <w:basedOn w:val="Normaltabell"/>
    <w:uiPriority w:val="39"/>
    <w:rsid w:val="000A34F5"/>
    <w:pPr>
      <w:spacing w:after="0" w:line="240" w:lineRule="auto"/>
    </w:pPr>
    <w:rPr>
      <w:rFonts w:asciiTheme="majorHAnsi" w:hAnsiTheme="majorHAnsi"/>
      <w:sz w:val="18"/>
    </w:rPr>
    <w:tblPr>
      <w:tblStyleRowBandSize w:val="1"/>
      <w:tblBorders>
        <w:bottom w:val="single" w:sz="4" w:space="0" w:color="000000" w:themeColor="text2"/>
      </w:tblBorders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uto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b/>
        <w:color w:val="FFFFFF" w:themeColor="background1"/>
      </w:rPr>
      <w:tblPr/>
      <w:tcPr>
        <w:shd w:val="clear" w:color="auto" w:fill="5C6D74" w:themeFill="accent1"/>
        <w:vAlign w:val="bottom"/>
      </w:tcPr>
    </w:tblStylePr>
    <w:tblStylePr w:type="lastRow">
      <w:rPr>
        <w:b/>
      </w:rPr>
      <w:tblPr/>
      <w:tcPr>
        <w:tcBorders>
          <w:bottom w:val="nil"/>
        </w:tcBorders>
        <w:shd w:val="clear" w:color="auto" w:fill="auto"/>
      </w:tcPr>
    </w:tblStylePr>
    <w:tblStylePr w:type="lastCol">
      <w:pPr>
        <w:jc w:val="center"/>
      </w:pPr>
      <w:rPr>
        <w:b/>
      </w:rPr>
    </w:tblStylePr>
    <w:tblStylePr w:type="band1Horz">
      <w:tblPr/>
      <w:tcPr>
        <w:shd w:val="clear" w:color="auto" w:fill="ADC0C9" w:themeFill="accent2"/>
      </w:tcPr>
    </w:tblStylePr>
  </w:style>
  <w:style w:type="character" w:styleId="Hyperlnk">
    <w:name w:val="Hyperlink"/>
    <w:basedOn w:val="Standardstycketeckensnitt"/>
    <w:uiPriority w:val="99"/>
    <w:rsid w:val="00976057"/>
    <w:rPr>
      <w:color w:val="806E5C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rsid w:val="009C631E"/>
    <w:rPr>
      <w:sz w:val="24"/>
    </w:rPr>
  </w:style>
  <w:style w:type="character" w:customStyle="1" w:styleId="InledningChar">
    <w:name w:val="Inledning Char"/>
    <w:basedOn w:val="Standardstycketeckensnitt"/>
    <w:link w:val="Inledning"/>
    <w:rsid w:val="009C631E"/>
    <w:rPr>
      <w:sz w:val="24"/>
    </w:rPr>
  </w:style>
  <w:style w:type="paragraph" w:customStyle="1" w:styleId="Bild">
    <w:name w:val="Bild"/>
    <w:basedOn w:val="Normal"/>
    <w:next w:val="Normal"/>
    <w:uiPriority w:val="99"/>
    <w:rsid w:val="00A174A1"/>
    <w:pPr>
      <w:keepNext/>
    </w:pPr>
  </w:style>
  <w:style w:type="table" w:styleId="Tabellrutntljust">
    <w:name w:val="Grid Table Light"/>
    <w:basedOn w:val="Normaltabell"/>
    <w:uiPriority w:val="40"/>
    <w:rsid w:val="00325211"/>
    <w:pPr>
      <w:spacing w:after="0" w:line="240" w:lineRule="auto"/>
    </w:pPr>
    <w:rPr>
      <w:rFonts w:asciiTheme="majorHAnsi" w:hAnsiTheme="majorHAnsi"/>
      <w:sz w:val="16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560FA2"/>
    <w:rPr>
      <w:color w:val="605E5C"/>
      <w:shd w:val="clear" w:color="auto" w:fill="E1DFDD"/>
    </w:rPr>
  </w:style>
  <w:style w:type="paragraph" w:customStyle="1" w:styleId="Bildtext">
    <w:name w:val="Bildtext"/>
    <w:basedOn w:val="Normal"/>
    <w:next w:val="Normal"/>
    <w:rsid w:val="0099082E"/>
    <w:pPr>
      <w:keepNext/>
      <w:keepLines/>
    </w:pPr>
    <w:rPr>
      <w:rFonts w:asciiTheme="majorHAnsi" w:hAnsiTheme="majorHAnsi"/>
      <w:sz w:val="18"/>
    </w:rPr>
  </w:style>
  <w:style w:type="character" w:customStyle="1" w:styleId="Klla">
    <w:name w:val="Källa"/>
    <w:basedOn w:val="Standardstycketeckensnitt"/>
    <w:uiPriority w:val="1"/>
    <w:rsid w:val="000A3C76"/>
    <w:rPr>
      <w:i/>
    </w:rPr>
  </w:style>
  <w:style w:type="paragraph" w:customStyle="1" w:styleId="Faktarutatext">
    <w:name w:val="Faktarutatext"/>
    <w:basedOn w:val="Normal"/>
    <w:uiPriority w:val="99"/>
    <w:rsid w:val="001F3354"/>
    <w:pPr>
      <w:tabs>
        <w:tab w:val="left" w:pos="113"/>
      </w:tabs>
    </w:pPr>
  </w:style>
  <w:style w:type="table" w:customStyle="1" w:styleId="Tabellrutnt1">
    <w:name w:val="Tabellrutnät1"/>
    <w:basedOn w:val="Normaltabell"/>
    <w:next w:val="Tabellrutnt"/>
    <w:uiPriority w:val="39"/>
    <w:rsid w:val="00403B97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taruta">
    <w:name w:val="Faktaruta"/>
    <w:basedOn w:val="Normaltabell"/>
    <w:uiPriority w:val="99"/>
    <w:rsid w:val="0068012D"/>
    <w:pPr>
      <w:spacing w:after="0" w:line="264" w:lineRule="auto"/>
    </w:pPr>
    <w:rPr>
      <w:rFonts w:asciiTheme="majorHAnsi" w:hAnsiTheme="majorHAnsi"/>
      <w:sz w:val="18"/>
    </w:rPr>
    <w:tblPr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DC0C9" w:themeFill="accent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621EB.87693AE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yggföretagen">
  <a:themeElements>
    <a:clrScheme name="Byggföretagen (ny)">
      <a:dk1>
        <a:sysClr val="windowText" lastClr="000000"/>
      </a:dk1>
      <a:lt1>
        <a:sysClr val="window" lastClr="FFFFFF"/>
      </a:lt1>
      <a:dk2>
        <a:srgbClr val="000000"/>
      </a:dk2>
      <a:lt2>
        <a:srgbClr val="D6DFE4"/>
      </a:lt2>
      <a:accent1>
        <a:srgbClr val="5C6D74"/>
      </a:accent1>
      <a:accent2>
        <a:srgbClr val="ADC0C9"/>
      </a:accent2>
      <a:accent3>
        <a:srgbClr val="63754B"/>
      </a:accent3>
      <a:accent4>
        <a:srgbClr val="806E5C"/>
      </a:accent4>
      <a:accent5>
        <a:srgbClr val="EBD3AD"/>
      </a:accent5>
      <a:accent6>
        <a:srgbClr val="643335"/>
      </a:accent6>
      <a:hlink>
        <a:srgbClr val="806E5C"/>
      </a:hlink>
      <a:folHlink>
        <a:srgbClr val="ADC0C9"/>
      </a:folHlink>
    </a:clrScheme>
    <a:fontScheme name="Byggföreta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Byggföretagen Grön Accent">
      <a:srgbClr val="8FFE57"/>
    </a:custClr>
    <a:custClr>
      <a:srgbClr val="FFFC4D"/>
    </a:custClr>
    <a:custClr name="Byggföretagen Korall Accent">
      <a:srgbClr val="FF634F"/>
    </a:custClr>
  </a:custClrLst>
  <a:extLst>
    <a:ext uri="{05A4C25C-085E-4340-85A3-A5531E510DB2}">
      <thm15:themeFamily xmlns:thm15="http://schemas.microsoft.com/office/thememl/2012/main" name="Byggföretagen" id="{9ED3D258-005B-459C-A3B1-DC2C3F77E466}" vid="{E4A61E2D-518D-446F-BD3D-10CB31BB1D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DCC8A777F4F4580E2282BA31FA7CA" ma:contentTypeVersion="11" ma:contentTypeDescription="Create a new document." ma:contentTypeScope="" ma:versionID="c06e1e49f06f38729e527ae1b9697c27">
  <xsd:schema xmlns:xsd="http://www.w3.org/2001/XMLSchema" xmlns:xs="http://www.w3.org/2001/XMLSchema" xmlns:p="http://schemas.microsoft.com/office/2006/metadata/properties" xmlns:ns1="http://schemas.microsoft.com/sharepoint/v3" xmlns:ns2="a7417844-24e9-4c98-8231-ddb9ce6085c6" xmlns:ns3="e93af5cb-d44d-48ff-ad5e-9c153acc6e05" targetNamespace="http://schemas.microsoft.com/office/2006/metadata/properties" ma:root="true" ma:fieldsID="0974d581b50d0f21bf464f111e052f35" ns1:_="" ns2:_="" ns3:_="">
    <xsd:import namespace="http://schemas.microsoft.com/sharepoint/v3"/>
    <xsd:import namespace="a7417844-24e9-4c98-8231-ddb9ce6085c6"/>
    <xsd:import namespace="e93af5cb-d44d-48ff-ad5e-9c153acc6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PublishingStartDate" minOccurs="0"/>
                <xsd:element ref="ns1:PublishingExpirationDat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7844-24e9-4c98-8231-ddb9ce60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f5cb-d44d-48ff-ad5e-9c153acc6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6B8D-C74C-41C2-B82F-7C7D2EE0DD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FDA499-94F1-4DF3-9842-0BAD3EA31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417844-24e9-4c98-8231-ddb9ce6085c6"/>
    <ds:schemaRef ds:uri="e93af5cb-d44d-48ff-ad5e-9c153acc6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82E70-88D9-43E4-B5AB-78F17D05B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8639F-2C6D-4651-928F-6BE32C7C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2020-05-27T08:52:00Z</dcterms:created>
  <dcterms:modified xsi:type="dcterms:W3CDTF">2020-06-03T07:08:00Z</dcterms:modified>
</cp:coreProperties>
</file>